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47F5" w14:textId="578A13F7" w:rsidR="00AA3FAE" w:rsidRPr="0035034A" w:rsidRDefault="00AA3FAE" w:rsidP="00AA3FAE">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F86D94">
        <w:rPr>
          <w:rFonts w:ascii="Arial" w:eastAsia="Dotum" w:hAnsi="Arial" w:cs="Times New Roman"/>
          <w:b/>
          <w:bCs/>
          <w:kern w:val="0"/>
          <w:sz w:val="24"/>
          <w:szCs w:val="18"/>
          <w:lang w:val="en-GB"/>
        </w:rPr>
        <w:t>8</w:t>
      </w:r>
      <w:r w:rsidRPr="00A26D85">
        <w:rPr>
          <w:rFonts w:ascii="Arial" w:eastAsia="Dotum" w:hAnsi="Arial" w:cs="Times New Roman"/>
          <w:b/>
          <w:bCs/>
          <w:kern w:val="0"/>
          <w:sz w:val="24"/>
          <w:szCs w:val="18"/>
          <w:lang w:val="en-GB"/>
        </w:rPr>
        <w:tab/>
        <w:t>R3-</w:t>
      </w:r>
      <w:r w:rsidR="00B26539" w:rsidRPr="00B26539">
        <w:rPr>
          <w:rFonts w:ascii="Arial" w:eastAsia="Dotum" w:hAnsi="Arial" w:cs="Times New Roman"/>
          <w:b/>
          <w:bCs/>
          <w:kern w:val="0"/>
          <w:sz w:val="24"/>
          <w:szCs w:val="18"/>
          <w:lang w:val="en-GB"/>
        </w:rPr>
        <w:t>22</w:t>
      </w:r>
      <w:r w:rsidR="00847394">
        <w:rPr>
          <w:rFonts w:ascii="Arial" w:eastAsia="Dotum" w:hAnsi="Arial" w:cs="Times New Roman"/>
          <w:b/>
          <w:bCs/>
          <w:kern w:val="0"/>
          <w:sz w:val="24"/>
          <w:szCs w:val="18"/>
          <w:lang w:val="en-GB"/>
        </w:rPr>
        <w:t>6435</w:t>
      </w:r>
    </w:p>
    <w:p w14:paraId="4BF14776" w14:textId="3C9F1CCC" w:rsidR="00AA3FAE" w:rsidRPr="00AA3FAE" w:rsidRDefault="003C333E"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1</w:t>
      </w:r>
      <w:r w:rsidR="00F86D94">
        <w:rPr>
          <w:rFonts w:ascii="Arial" w:eastAsia="宋体" w:hAnsi="Arial" w:cs="黑体"/>
          <w:b/>
          <w:bCs/>
          <w:noProof/>
          <w:kern w:val="0"/>
          <w:sz w:val="24"/>
        </w:rPr>
        <w:t>4</w:t>
      </w:r>
      <w:r w:rsidR="00571FC2">
        <w:rPr>
          <w:rFonts w:ascii="Arial" w:eastAsia="宋体" w:hAnsi="Arial" w:cs="黑体" w:hint="eastAsia"/>
          <w:b/>
          <w:bCs/>
          <w:noProof/>
          <w:kern w:val="0"/>
          <w:sz w:val="24"/>
          <w:vertAlign w:val="superscript"/>
        </w:rPr>
        <w:t>t</w:t>
      </w:r>
      <w:r>
        <w:rPr>
          <w:rFonts w:ascii="Arial" w:eastAsia="宋体" w:hAnsi="Arial" w:cs="黑体"/>
          <w:b/>
          <w:bCs/>
          <w:noProof/>
          <w:kern w:val="0"/>
          <w:sz w:val="24"/>
          <w:vertAlign w:val="superscript"/>
        </w:rPr>
        <w:t>h</w:t>
      </w:r>
      <w:r w:rsidR="00384956">
        <w:rPr>
          <w:rFonts w:ascii="Arial" w:eastAsia="宋体" w:hAnsi="Arial" w:cs="黑体"/>
          <w:b/>
          <w:bCs/>
          <w:noProof/>
          <w:kern w:val="0"/>
          <w:sz w:val="24"/>
        </w:rPr>
        <w:t xml:space="preserve"> </w:t>
      </w:r>
      <w:r w:rsidR="00AA3FAE" w:rsidRPr="00A26D85">
        <w:rPr>
          <w:rFonts w:ascii="Arial" w:eastAsia="宋体" w:hAnsi="Arial" w:cs="黑体"/>
          <w:b/>
          <w:bCs/>
          <w:noProof/>
          <w:kern w:val="0"/>
          <w:sz w:val="24"/>
        </w:rPr>
        <w:t xml:space="preserve">– </w:t>
      </w:r>
      <w:r w:rsidR="00625E1E">
        <w:rPr>
          <w:rFonts w:ascii="Arial" w:eastAsia="宋体" w:hAnsi="Arial" w:cs="黑体"/>
          <w:b/>
          <w:bCs/>
          <w:noProof/>
          <w:kern w:val="0"/>
          <w:sz w:val="24"/>
        </w:rPr>
        <w:t>18</w:t>
      </w:r>
      <w:r>
        <w:rPr>
          <w:rFonts w:ascii="Arial" w:eastAsia="宋体" w:hAnsi="Arial" w:cs="黑体"/>
          <w:b/>
          <w:bCs/>
          <w:noProof/>
          <w:kern w:val="0"/>
          <w:sz w:val="24"/>
          <w:vertAlign w:val="superscript"/>
        </w:rPr>
        <w:t>th</w:t>
      </w:r>
      <w:r w:rsidR="00AA3FAE" w:rsidRPr="00A26D85">
        <w:rPr>
          <w:rFonts w:ascii="Arial" w:eastAsia="宋体" w:hAnsi="Arial" w:cs="黑体"/>
          <w:b/>
          <w:bCs/>
          <w:noProof/>
          <w:kern w:val="0"/>
          <w:sz w:val="24"/>
        </w:rPr>
        <w:t xml:space="preserve"> </w:t>
      </w:r>
      <w:r w:rsidR="00F86D94">
        <w:rPr>
          <w:rFonts w:ascii="Arial" w:eastAsia="宋体" w:hAnsi="Arial" w:cs="黑体"/>
          <w:b/>
          <w:bCs/>
          <w:noProof/>
          <w:kern w:val="0"/>
          <w:sz w:val="24"/>
        </w:rPr>
        <w:t>N</w:t>
      </w:r>
      <w:r w:rsidR="00F86D94">
        <w:rPr>
          <w:rFonts w:ascii="Arial" w:eastAsia="宋体" w:hAnsi="Arial" w:cs="黑体" w:hint="eastAsia"/>
          <w:b/>
          <w:bCs/>
          <w:noProof/>
          <w:kern w:val="0"/>
          <w:sz w:val="24"/>
        </w:rPr>
        <w:t>ov</w:t>
      </w:r>
      <w:r w:rsidR="00AA3FAE" w:rsidRPr="00A26D85">
        <w:rPr>
          <w:rFonts w:ascii="Arial" w:eastAsia="宋体" w:hAnsi="Arial" w:cs="黑体"/>
          <w:b/>
          <w:bCs/>
          <w:noProof/>
          <w:kern w:val="0"/>
          <w:sz w:val="24"/>
        </w:rPr>
        <w:t>, 202</w:t>
      </w:r>
      <w:r w:rsidR="0035034A">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7D9BD31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625E1E">
        <w:rPr>
          <w:rFonts w:ascii="Arial" w:eastAsia="宋体" w:hAnsi="Arial" w:cs="Times New Roman"/>
          <w:b/>
          <w:kern w:val="0"/>
          <w:sz w:val="22"/>
          <w:szCs w:val="20"/>
          <w:lang w:val="en-GB"/>
        </w:rPr>
        <w:t>2</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54B241E6"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0F0310" w:rsidRPr="000F0310">
        <w:rPr>
          <w:rFonts w:ascii="Arial" w:eastAsia="宋体" w:hAnsi="Arial" w:cs="Times New Roman"/>
          <w:b/>
          <w:kern w:val="0"/>
          <w:sz w:val="22"/>
          <w:szCs w:val="20"/>
          <w:lang w:val="en-GB"/>
        </w:rPr>
        <w:t>Discussion on mobile IAB-node inter-donor topology adaptation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73D54A2F" w14:textId="77777777" w:rsidR="007F36E9" w:rsidRDefault="007F36E9" w:rsidP="007F36E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w:t>
      </w:r>
      <w:proofErr w:type="gramStart"/>
      <w:r>
        <w:rPr>
          <w:rFonts w:ascii="Times New Roman" w:eastAsia="宋体" w:hAnsi="Times New Roman" w:cs="Times New Roman"/>
          <w:kern w:val="0"/>
          <w:sz w:val="20"/>
          <w:szCs w:val="20"/>
        </w:rPr>
        <w:t>18, and</w:t>
      </w:r>
      <w:proofErr w:type="gramEnd"/>
      <w:r>
        <w:rPr>
          <w:rFonts w:ascii="Times New Roman" w:eastAsia="宋体" w:hAnsi="Times New Roman" w:cs="Times New Roman"/>
          <w:kern w:val="0"/>
          <w:sz w:val="20"/>
          <w:szCs w:val="20"/>
        </w:rPr>
        <w:t xml:space="preserve"> following detail objectives are identified mainly focus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7F36E9" w14:paraId="4C212DE2" w14:textId="77777777" w:rsidTr="00826812">
        <w:trPr>
          <w:trHeight w:val="1747"/>
        </w:trPr>
        <w:tc>
          <w:tcPr>
            <w:tcW w:w="9704" w:type="dxa"/>
          </w:tcPr>
          <w:p w14:paraId="588BF092" w14:textId="77777777" w:rsidR="007F36E9"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0B9908DA" w14:textId="77777777" w:rsidR="007F36E9" w:rsidRPr="00D06F6A" w:rsidRDefault="007F36E9" w:rsidP="00826812">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08F557AF" w14:textId="77777777" w:rsidR="007F36E9" w:rsidRPr="00D06F6A" w:rsidRDefault="007F36E9" w:rsidP="00826812">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73188CD" w14:textId="77777777" w:rsidR="007F36E9" w:rsidRPr="00314064"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5259EB1A" w14:textId="77777777" w:rsidR="007F36E9" w:rsidRPr="00314064" w:rsidRDefault="007F36E9" w:rsidP="00826812">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5E9D1AFC" w14:textId="77777777" w:rsidR="007F36E9" w:rsidRPr="00216448" w:rsidRDefault="007F36E9" w:rsidP="00826812">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tc>
      </w:tr>
    </w:tbl>
    <w:p w14:paraId="766404C1" w14:textId="7BA5782E" w:rsidR="00161A1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w:t>
      </w:r>
      <w:r w:rsidR="00C1648E">
        <w:rPr>
          <w:rFonts w:ascii="Times New Roman" w:eastAsia="宋体" w:hAnsi="Times New Roman" w:cs="Times New Roman"/>
          <w:kern w:val="0"/>
          <w:sz w:val="20"/>
          <w:szCs w:val="20"/>
        </w:rPr>
        <w:t xml:space="preserve"> </w:t>
      </w:r>
      <w:r w:rsidR="00C95C5C">
        <w:rPr>
          <w:rFonts w:ascii="Times New Roman" w:eastAsia="宋体" w:hAnsi="Times New Roman" w:cs="Times New Roman"/>
          <w:kern w:val="0"/>
          <w:sz w:val="20"/>
          <w:szCs w:val="20"/>
        </w:rPr>
        <w:t xml:space="preserve">we continue to discuss the </w:t>
      </w:r>
      <w:r w:rsidR="00B635F7">
        <w:rPr>
          <w:rFonts w:ascii="Times New Roman" w:eastAsia="宋体" w:hAnsi="Times New Roman" w:cs="Times New Roman"/>
          <w:kern w:val="0"/>
          <w:sz w:val="20"/>
          <w:szCs w:val="20"/>
        </w:rPr>
        <w:t xml:space="preserve">general principles of </w:t>
      </w:r>
      <w:r w:rsidR="00B635F7" w:rsidRPr="002845AD">
        <w:rPr>
          <w:rFonts w:ascii="Times New Roman" w:eastAsia="宋体" w:hAnsi="Times New Roman" w:cs="Times New Roman"/>
          <w:kern w:val="0"/>
          <w:sz w:val="20"/>
          <w:szCs w:val="20"/>
        </w:rPr>
        <w:t>mobile IAB-node i</w:t>
      </w:r>
      <w:bookmarkStart w:id="2" w:name="OLE_LINK5"/>
      <w:r w:rsidR="00B635F7" w:rsidRPr="002845AD">
        <w:rPr>
          <w:rFonts w:ascii="Times New Roman" w:eastAsia="宋体" w:hAnsi="Times New Roman" w:cs="Times New Roman"/>
          <w:kern w:val="0"/>
          <w:sz w:val="20"/>
          <w:szCs w:val="20"/>
        </w:rPr>
        <w:t>nter-donor topology adaptation</w:t>
      </w:r>
      <w:bookmarkEnd w:id="2"/>
      <w:r w:rsidR="00B635F7">
        <w:rPr>
          <w:rFonts w:ascii="Times New Roman" w:eastAsia="宋体" w:hAnsi="Times New Roman" w:cs="Times New Roman"/>
          <w:kern w:val="0"/>
          <w:sz w:val="20"/>
          <w:szCs w:val="20"/>
        </w:rPr>
        <w:t xml:space="preserve">, including </w:t>
      </w:r>
      <w:r w:rsidR="00B635F7" w:rsidRPr="00B635F7">
        <w:rPr>
          <w:rFonts w:ascii="Times New Roman" w:eastAsia="宋体" w:hAnsi="Times New Roman" w:cs="Times New Roman"/>
          <w:kern w:val="0"/>
          <w:sz w:val="20"/>
          <w:szCs w:val="20"/>
        </w:rPr>
        <w:t>independen</w:t>
      </w:r>
      <w:r w:rsidR="00B635F7">
        <w:rPr>
          <w:rFonts w:ascii="Times New Roman" w:eastAsia="宋体" w:hAnsi="Times New Roman" w:cs="Times New Roman"/>
          <w:kern w:val="0"/>
          <w:sz w:val="20"/>
          <w:szCs w:val="20"/>
        </w:rPr>
        <w:t xml:space="preserve">cy on mobile IAB-DU migration, </w:t>
      </w:r>
      <w:r w:rsidR="000A56DD">
        <w:rPr>
          <w:rFonts w:ascii="Times New Roman" w:eastAsia="宋体" w:hAnsi="Times New Roman" w:cs="Times New Roman"/>
          <w:kern w:val="0"/>
          <w:sz w:val="20"/>
          <w:szCs w:val="20"/>
        </w:rPr>
        <w:t>c</w:t>
      </w:r>
      <w:r w:rsidR="000A56DD" w:rsidRPr="000A56DD">
        <w:rPr>
          <w:rFonts w:ascii="Times New Roman" w:eastAsia="宋体" w:hAnsi="Times New Roman" w:cs="Times New Roman"/>
          <w:kern w:val="0"/>
          <w:sz w:val="20"/>
          <w:szCs w:val="20"/>
        </w:rPr>
        <w:t>onsecutive partial migrations</w:t>
      </w:r>
      <w:r w:rsidR="000A56DD">
        <w:rPr>
          <w:rFonts w:ascii="Times New Roman" w:eastAsia="宋体" w:hAnsi="Times New Roman" w:cs="Times New Roman"/>
          <w:kern w:val="0"/>
          <w:sz w:val="20"/>
          <w:szCs w:val="20"/>
        </w:rPr>
        <w:t xml:space="preserve">, </w:t>
      </w:r>
      <w:r w:rsidR="00B635F7" w:rsidRPr="00B635F7">
        <w:rPr>
          <w:rFonts w:ascii="Times New Roman" w:eastAsia="宋体" w:hAnsi="Times New Roman" w:cs="Times New Roman"/>
          <w:kern w:val="0"/>
          <w:sz w:val="20"/>
          <w:szCs w:val="20"/>
        </w:rPr>
        <w:t>inter-donor topology adaptation</w:t>
      </w:r>
      <w:r w:rsidR="00B635F7">
        <w:rPr>
          <w:rFonts w:ascii="Times New Roman" w:eastAsia="宋体" w:hAnsi="Times New Roman" w:cs="Times New Roman"/>
          <w:kern w:val="0"/>
          <w:sz w:val="20"/>
          <w:szCs w:val="20"/>
        </w:rPr>
        <w:t xml:space="preserve"> in absence of </w:t>
      </w:r>
      <w:proofErr w:type="spellStart"/>
      <w:r w:rsidR="00B635F7">
        <w:rPr>
          <w:rFonts w:ascii="Times New Roman" w:eastAsia="宋体" w:hAnsi="Times New Roman" w:cs="Times New Roman"/>
          <w:kern w:val="0"/>
          <w:sz w:val="20"/>
          <w:szCs w:val="20"/>
        </w:rPr>
        <w:t>Xn</w:t>
      </w:r>
      <w:proofErr w:type="spellEnd"/>
      <w:r w:rsidR="00B635F7">
        <w:rPr>
          <w:rFonts w:ascii="Times New Roman" w:eastAsia="宋体" w:hAnsi="Times New Roman" w:cs="Times New Roman"/>
          <w:kern w:val="0"/>
          <w:sz w:val="20"/>
          <w:szCs w:val="20"/>
        </w:rPr>
        <w:t xml:space="preserve"> and/or IP connection.</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9A15087" w14:textId="259BFB02" w:rsidR="003E2855" w:rsidRPr="0043702D" w:rsidRDefault="00EE3B28" w:rsidP="0043702D">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sidRPr="008D16AC">
        <w:rPr>
          <w:rFonts w:ascii="Times New Roman" w:eastAsia="宋体" w:hAnsi="Times New Roman" w:cs="Times New Roman"/>
          <w:b/>
          <w:bCs/>
          <w:kern w:val="0"/>
          <w:sz w:val="22"/>
          <w:u w:val="single"/>
        </w:rPr>
        <w:t>Independency on mobile IAB-DU migration</w:t>
      </w:r>
    </w:p>
    <w:tbl>
      <w:tblPr>
        <w:tblW w:w="966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3"/>
      </w:tblGrid>
      <w:tr w:rsidR="0043702D" w14:paraId="74906526" w14:textId="77777777" w:rsidTr="00B27510">
        <w:trPr>
          <w:trHeight w:val="2288"/>
        </w:trPr>
        <w:tc>
          <w:tcPr>
            <w:tcW w:w="9663" w:type="dxa"/>
          </w:tcPr>
          <w:p w14:paraId="01A67EA1" w14:textId="481D2FB5" w:rsidR="000333B0" w:rsidRPr="000333B0" w:rsidRDefault="000333B0" w:rsidP="000333B0">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AN3 117-e</w:t>
            </w:r>
            <w:r w:rsidR="007215DC">
              <w:rPr>
                <w:rFonts w:ascii="Times New Roman" w:eastAsia="宋体" w:hAnsi="Times New Roman" w:cs="Times New Roman"/>
                <w:kern w:val="0"/>
                <w:sz w:val="20"/>
                <w:szCs w:val="20"/>
              </w:rPr>
              <w:t xml:space="preserve"> [2]</w:t>
            </w:r>
            <w:r w:rsidRPr="000333B0">
              <w:rPr>
                <w:rFonts w:ascii="Times New Roman" w:eastAsia="宋体" w:hAnsi="Times New Roman" w:cs="Times New Roman"/>
                <w:kern w:val="0"/>
                <w:sz w:val="20"/>
                <w:szCs w:val="20"/>
              </w:rPr>
              <w:t>:</w:t>
            </w:r>
          </w:p>
          <w:p w14:paraId="62AB7D86" w14:textId="77777777" w:rsidR="000333B0" w:rsidRPr="0034409C" w:rsidRDefault="000333B0" w:rsidP="000333B0">
            <w:pPr>
              <w:rPr>
                <w:rFonts w:ascii="Calibri" w:hAnsi="Calibri" w:cs="Calibri"/>
                <w:b/>
                <w:color w:val="008000"/>
                <w:sz w:val="18"/>
                <w:szCs w:val="18"/>
              </w:rPr>
            </w:pPr>
            <w:r w:rsidRPr="0034409C">
              <w:rPr>
                <w:rFonts w:ascii="Calibri" w:hAnsi="Calibri" w:cs="Calibri"/>
                <w:b/>
                <w:color w:val="008000"/>
                <w:sz w:val="18"/>
                <w:szCs w:val="18"/>
              </w:rPr>
              <w:t>RAN3 to discuss whether a mobile IAB-DU can execute inter-donor migration, while the co-located mobile IAB-MT stays connected to the same donor before and after the mobile IAB-DU migration.</w:t>
            </w:r>
          </w:p>
          <w:p w14:paraId="45045CC8" w14:textId="60D84D16" w:rsidR="000333B0" w:rsidRPr="000333B0" w:rsidRDefault="000333B0" w:rsidP="000333B0">
            <w:pPr>
              <w:rPr>
                <w:rFonts w:ascii="Calibri" w:hAnsi="Calibri" w:cs="Calibri"/>
                <w:b/>
                <w:color w:val="008000"/>
                <w:sz w:val="18"/>
                <w:szCs w:val="18"/>
              </w:rPr>
            </w:pPr>
            <w:r w:rsidRPr="0034409C">
              <w:rPr>
                <w:rFonts w:ascii="Calibri" w:hAnsi="Calibri" w:cs="Calibri"/>
                <w:b/>
                <w:color w:val="008000"/>
                <w:sz w:val="18"/>
                <w:szCs w:val="18"/>
              </w:rPr>
              <w:t>RAN3 to discuss whether a mobile IAB-DU can execute inter-donor migration, while the co-located mobile IAB-MT executes inter-donor migration.</w:t>
            </w:r>
          </w:p>
          <w:p w14:paraId="60CAE476" w14:textId="48D0209D" w:rsidR="000333B0" w:rsidRPr="000333B0" w:rsidRDefault="000333B0" w:rsidP="0043702D">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AN3 117bis-e</w:t>
            </w:r>
            <w:r w:rsidR="007215DC">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333C8994" w14:textId="53683BCC" w:rsidR="0043702D" w:rsidRDefault="0043702D" w:rsidP="0043702D">
            <w:pPr>
              <w:rPr>
                <w:rFonts w:ascii="Calibri" w:hAnsi="Calibri" w:cs="Calibri"/>
                <w:b/>
                <w:color w:val="008000"/>
                <w:sz w:val="18"/>
                <w:szCs w:val="18"/>
              </w:rPr>
            </w:pP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and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-MT handover can be executed independently from each other. Details on the scenarios need to be further discussed</w:t>
            </w:r>
          </w:p>
          <w:p w14:paraId="37668F33" w14:textId="604AF89E" w:rsidR="0043702D" w:rsidRPr="0043702D" w:rsidRDefault="0043702D" w:rsidP="0043702D">
            <w:pPr>
              <w:rPr>
                <w:rFonts w:ascii="Calibri" w:hAnsi="Calibri" w:cs="Calibri"/>
                <w:b/>
                <w:color w:val="008000"/>
                <w:sz w:val="18"/>
                <w:szCs w:val="18"/>
              </w:rPr>
            </w:pPr>
            <w:r w:rsidRPr="00B51320">
              <w:rPr>
                <w:rFonts w:ascii="Calibri" w:hAnsi="Calibri" w:cs="Calibri"/>
                <w:b/>
                <w:color w:val="008000"/>
                <w:sz w:val="18"/>
                <w:szCs w:val="18"/>
              </w:rPr>
              <w:t xml:space="preserve">The donor CU serving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decides whether to execute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or inter-donor F1 transport migration for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w:t>
            </w:r>
          </w:p>
        </w:tc>
      </w:tr>
    </w:tbl>
    <w:p w14:paraId="6593DFA4" w14:textId="09988B30" w:rsidR="00B27510" w:rsidRDefault="00B27510" w:rsidP="0086334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defined </w:t>
      </w:r>
      <w:r>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TS 38.300, inter-donor partial migration is what we said IAB-MT migration and means that m</w:t>
      </w:r>
      <w:r w:rsidRPr="00811C41">
        <w:rPr>
          <w:rFonts w:ascii="Times New Roman" w:eastAsia="宋体" w:hAnsi="Times New Roman" w:cs="Times New Roman"/>
          <w:kern w:val="0"/>
          <w:sz w:val="20"/>
          <w:szCs w:val="20"/>
        </w:rPr>
        <w:t>igration of an IAB-MT to a parent node underneath a different IAB-donor-CU while the collocated IAB-DU and descendant IAB-node(s), if any, are terminated at the initial IAB-donor-CU.</w:t>
      </w:r>
      <w:r>
        <w:rPr>
          <w:rFonts w:ascii="Times New Roman" w:eastAsia="宋体" w:hAnsi="Times New Roman" w:cs="Times New Roman"/>
          <w:kern w:val="0"/>
          <w:sz w:val="20"/>
          <w:szCs w:val="20"/>
        </w:rPr>
        <w:t xml:space="preserve"> In similar way, inter-donor IAB-DU migration means that migration of an IAB-DU and </w:t>
      </w:r>
      <w:proofErr w:type="gramStart"/>
      <w:r>
        <w:rPr>
          <w:rFonts w:ascii="Times New Roman" w:eastAsia="宋体" w:hAnsi="Times New Roman" w:cs="Times New Roman"/>
          <w:kern w:val="0"/>
          <w:sz w:val="20"/>
          <w:szCs w:val="20"/>
        </w:rPr>
        <w:t>its</w:t>
      </w:r>
      <w:proofErr w:type="gramEnd"/>
      <w:r>
        <w:rPr>
          <w:rFonts w:ascii="Times New Roman" w:eastAsia="宋体" w:hAnsi="Times New Roman" w:cs="Times New Roman"/>
          <w:kern w:val="0"/>
          <w:sz w:val="20"/>
          <w:szCs w:val="20"/>
        </w:rPr>
        <w:t xml:space="preserve"> served UEs to a different IAB-donor-CU while the collocated IAB-MT is terminated at the initial IAB-donor-CU. </w:t>
      </w:r>
    </w:p>
    <w:p w14:paraId="74F78A31" w14:textId="2BB623B9" w:rsidR="00B27510" w:rsidRDefault="00B27510" w:rsidP="0086334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objectives in the WID [1] for mobile IAB, at least we need to define the procedure for </w:t>
      </w:r>
      <w:r w:rsidRPr="008F35E8">
        <w:rPr>
          <w:rFonts w:ascii="Times New Roman" w:eastAsia="宋体" w:hAnsi="Times New Roman" w:cs="Times New Roman"/>
          <w:kern w:val="0"/>
          <w:sz w:val="20"/>
          <w:szCs w:val="20"/>
        </w:rPr>
        <w:t>migration/topology adaptation to enable IAB-node mobility, including inter-donor migration of the entire mobile IAB-node (full migration)</w:t>
      </w:r>
      <w:r>
        <w:rPr>
          <w:rFonts w:ascii="Times New Roman" w:eastAsia="宋体" w:hAnsi="Times New Roman" w:cs="Times New Roman"/>
          <w:kern w:val="0"/>
          <w:sz w:val="20"/>
          <w:szCs w:val="20"/>
        </w:rPr>
        <w:t xml:space="preserve">. In other words, mobile IAB-DU migration should at least be </w:t>
      </w:r>
      <w:r w:rsidR="005152A6">
        <w:rPr>
          <w:rFonts w:ascii="Times New Roman" w:eastAsia="宋体" w:hAnsi="Times New Roman" w:cs="Times New Roman"/>
          <w:kern w:val="0"/>
          <w:sz w:val="20"/>
          <w:szCs w:val="20"/>
        </w:rPr>
        <w:t>performed</w:t>
      </w:r>
      <w:r>
        <w:rPr>
          <w:rFonts w:ascii="Times New Roman" w:eastAsia="宋体" w:hAnsi="Times New Roman" w:cs="Times New Roman"/>
          <w:kern w:val="0"/>
          <w:sz w:val="20"/>
          <w:szCs w:val="20"/>
        </w:rPr>
        <w:t xml:space="preserve"> </w:t>
      </w:r>
      <w:r w:rsidR="007E12CD">
        <w:rPr>
          <w:rFonts w:ascii="Times New Roman" w:eastAsia="宋体" w:hAnsi="Times New Roman" w:cs="Times New Roman"/>
          <w:kern w:val="0"/>
          <w:sz w:val="20"/>
          <w:szCs w:val="20"/>
        </w:rPr>
        <w:t>accompanied</w:t>
      </w:r>
      <w:r>
        <w:rPr>
          <w:rFonts w:ascii="Times New Roman" w:eastAsia="宋体" w:hAnsi="Times New Roman" w:cs="Times New Roman"/>
          <w:kern w:val="0"/>
          <w:sz w:val="20"/>
          <w:szCs w:val="20"/>
        </w:rPr>
        <w:t xml:space="preserve"> with the mobile IAB-MT </w:t>
      </w:r>
      <w:r w:rsidR="005152A6">
        <w:rPr>
          <w:rFonts w:ascii="Times New Roman" w:eastAsia="宋体" w:hAnsi="Times New Roman" w:cs="Times New Roman"/>
          <w:kern w:val="0"/>
          <w:sz w:val="20"/>
          <w:szCs w:val="20"/>
        </w:rPr>
        <w:t>handover</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lastRenderedPageBreak/>
        <w:t>for full migration.</w:t>
      </w:r>
      <w:r w:rsidR="005152A6">
        <w:rPr>
          <w:rFonts w:ascii="Times New Roman" w:eastAsia="宋体" w:hAnsi="Times New Roman" w:cs="Times New Roman"/>
          <w:kern w:val="0"/>
          <w:sz w:val="20"/>
          <w:szCs w:val="20"/>
        </w:rPr>
        <w:t xml:space="preserve"> And in case of full migration, it’s the source IAB-donor-CU</w:t>
      </w:r>
      <w:r w:rsidR="007E12CD">
        <w:rPr>
          <w:rFonts w:ascii="Times New Roman" w:eastAsia="宋体" w:hAnsi="Times New Roman" w:cs="Times New Roman"/>
          <w:kern w:val="0"/>
          <w:sz w:val="20"/>
          <w:szCs w:val="20"/>
        </w:rPr>
        <w:t>’s implementation</w:t>
      </w:r>
      <w:r w:rsidR="005152A6">
        <w:rPr>
          <w:rFonts w:ascii="Times New Roman" w:eastAsia="宋体" w:hAnsi="Times New Roman" w:cs="Times New Roman"/>
          <w:kern w:val="0"/>
          <w:sz w:val="20"/>
          <w:szCs w:val="20"/>
        </w:rPr>
        <w:t xml:space="preserve"> to trigger and execute </w:t>
      </w:r>
      <w:bookmarkStart w:id="3" w:name="OLE_LINK6"/>
      <w:r w:rsidR="00EA0923">
        <w:rPr>
          <w:rFonts w:ascii="Times New Roman" w:eastAsia="宋体" w:hAnsi="Times New Roman" w:cs="Times New Roman"/>
          <w:kern w:val="0"/>
          <w:sz w:val="20"/>
          <w:szCs w:val="20"/>
        </w:rPr>
        <w:t>mobile IAB-DU migration</w:t>
      </w:r>
      <w:bookmarkEnd w:id="3"/>
      <w:r w:rsidR="00EA0923">
        <w:rPr>
          <w:rFonts w:ascii="Times New Roman" w:eastAsia="宋体" w:hAnsi="Times New Roman" w:cs="Times New Roman"/>
          <w:kern w:val="0"/>
          <w:sz w:val="20"/>
          <w:szCs w:val="20"/>
        </w:rPr>
        <w:t xml:space="preserve"> </w:t>
      </w:r>
      <w:r w:rsidR="007E12CD">
        <w:rPr>
          <w:rFonts w:ascii="Times New Roman" w:eastAsia="宋体" w:hAnsi="Times New Roman" w:cs="Times New Roman"/>
          <w:kern w:val="0"/>
          <w:sz w:val="20"/>
          <w:szCs w:val="20"/>
        </w:rPr>
        <w:t>or</w:t>
      </w:r>
      <w:r w:rsidR="00EA0923">
        <w:rPr>
          <w:rFonts w:ascii="Times New Roman" w:eastAsia="宋体" w:hAnsi="Times New Roman" w:cs="Times New Roman"/>
          <w:kern w:val="0"/>
          <w:sz w:val="20"/>
          <w:szCs w:val="20"/>
        </w:rPr>
        <w:t xml:space="preserve"> mobile IAB-MT handover</w:t>
      </w:r>
      <w:r w:rsidR="00001E39">
        <w:rPr>
          <w:rFonts w:ascii="Times New Roman" w:eastAsia="宋体" w:hAnsi="Times New Roman" w:cs="Times New Roman"/>
          <w:kern w:val="0"/>
          <w:sz w:val="20"/>
          <w:szCs w:val="20"/>
        </w:rPr>
        <w:t xml:space="preserve"> </w:t>
      </w:r>
      <w:r w:rsidR="007E12CD">
        <w:rPr>
          <w:rFonts w:ascii="Times New Roman" w:eastAsia="宋体" w:hAnsi="Times New Roman" w:cs="Times New Roman"/>
          <w:kern w:val="0"/>
          <w:sz w:val="20"/>
          <w:szCs w:val="20"/>
        </w:rPr>
        <w:t>firstly since</w:t>
      </w:r>
      <w:r w:rsidR="00001E39">
        <w:rPr>
          <w:rFonts w:ascii="Times New Roman" w:eastAsia="宋体" w:hAnsi="Times New Roman" w:cs="Times New Roman"/>
          <w:kern w:val="0"/>
          <w:sz w:val="20"/>
          <w:szCs w:val="20"/>
        </w:rPr>
        <w:t xml:space="preserve"> the two procedures can be performed </w:t>
      </w:r>
      <w:r w:rsidR="00001E39" w:rsidRPr="00001E39">
        <w:rPr>
          <w:rFonts w:ascii="Times New Roman" w:eastAsia="宋体" w:hAnsi="Times New Roman" w:cs="Times New Roman"/>
          <w:kern w:val="0"/>
          <w:sz w:val="20"/>
          <w:szCs w:val="20"/>
        </w:rPr>
        <w:t>independently</w:t>
      </w:r>
      <w:r w:rsidR="00001E39">
        <w:rPr>
          <w:rFonts w:ascii="Times New Roman" w:eastAsia="宋体" w:hAnsi="Times New Roman" w:cs="Times New Roman"/>
          <w:kern w:val="0"/>
          <w:sz w:val="20"/>
          <w:szCs w:val="20"/>
        </w:rPr>
        <w:t xml:space="preserve">. </w:t>
      </w:r>
    </w:p>
    <w:p w14:paraId="652027E6" w14:textId="43576364" w:rsidR="00B27510" w:rsidRDefault="00B27510" w:rsidP="00863345">
      <w:pPr>
        <w:pStyle w:val="af2"/>
        <w:spacing w:before="0" w:beforeAutospacing="0" w:after="120" w:afterAutospacing="0"/>
        <w:jc w:val="both"/>
        <w:rPr>
          <w:rFonts w:ascii="Times New Roman" w:hAnsi="Times New Roman" w:cs="Times New Roman"/>
          <w:b/>
          <w:bCs/>
          <w:sz w:val="20"/>
          <w:szCs w:val="20"/>
        </w:rPr>
      </w:pPr>
      <w:r>
        <w:rPr>
          <w:rFonts w:ascii="Times New Roman" w:hAnsi="Times New Roman" w:cs="Times New Roman"/>
          <w:b/>
          <w:bCs/>
          <w:sz w:val="20"/>
          <w:szCs w:val="20"/>
        </w:rPr>
        <w:t xml:space="preserve">Proposal 1: In case of </w:t>
      </w:r>
      <w:r w:rsidR="00863345">
        <w:rPr>
          <w:rFonts w:ascii="Times New Roman" w:hAnsi="Times New Roman" w:cs="Times New Roman"/>
          <w:b/>
          <w:bCs/>
          <w:sz w:val="20"/>
          <w:szCs w:val="20"/>
        </w:rPr>
        <w:t>mobile IAB-node full migration</w:t>
      </w:r>
      <w:r>
        <w:rPr>
          <w:rFonts w:ascii="Times New Roman" w:hAnsi="Times New Roman" w:cs="Times New Roman"/>
          <w:b/>
          <w:bCs/>
          <w:sz w:val="20"/>
          <w:szCs w:val="20"/>
        </w:rPr>
        <w:t xml:space="preserve">, </w:t>
      </w:r>
      <w:r w:rsidR="00FE5F1D">
        <w:rPr>
          <w:rFonts w:ascii="Times New Roman" w:hAnsi="Times New Roman" w:cs="Times New Roman"/>
          <w:b/>
          <w:bCs/>
          <w:sz w:val="20"/>
          <w:szCs w:val="20"/>
        </w:rPr>
        <w:t>source IAB-donor-</w:t>
      </w:r>
      <w:r>
        <w:rPr>
          <w:rFonts w:ascii="Times New Roman" w:hAnsi="Times New Roman" w:cs="Times New Roman"/>
          <w:b/>
          <w:bCs/>
          <w:sz w:val="20"/>
          <w:szCs w:val="20"/>
        </w:rPr>
        <w:t xml:space="preserve">CU </w:t>
      </w:r>
      <w:r w:rsidR="00D10BE9">
        <w:rPr>
          <w:rFonts w:ascii="Times New Roman" w:hAnsi="Times New Roman" w:cs="Times New Roman"/>
          <w:b/>
          <w:bCs/>
          <w:sz w:val="20"/>
          <w:szCs w:val="20"/>
        </w:rPr>
        <w:t>shall</w:t>
      </w:r>
      <w:r>
        <w:rPr>
          <w:rFonts w:ascii="Times New Roman" w:hAnsi="Times New Roman" w:cs="Times New Roman"/>
          <w:b/>
          <w:bCs/>
          <w:sz w:val="20"/>
          <w:szCs w:val="20"/>
        </w:rPr>
        <w:t xml:space="preserve"> trigger inter-donor </w:t>
      </w:r>
      <w:r w:rsidR="00F81DB9">
        <w:rPr>
          <w:rFonts w:ascii="Times New Roman" w:hAnsi="Times New Roman" w:cs="Times New Roman"/>
          <w:b/>
          <w:bCs/>
          <w:sz w:val="20"/>
          <w:szCs w:val="20"/>
        </w:rPr>
        <w:t xml:space="preserve">IAB-DU </w:t>
      </w:r>
      <w:r>
        <w:rPr>
          <w:rFonts w:ascii="Times New Roman" w:hAnsi="Times New Roman" w:cs="Times New Roman"/>
          <w:b/>
          <w:bCs/>
          <w:sz w:val="20"/>
          <w:szCs w:val="20"/>
        </w:rPr>
        <w:t xml:space="preserve">migration accompanied with inter-donor </w:t>
      </w:r>
      <w:r w:rsidR="00446CBF">
        <w:rPr>
          <w:rFonts w:ascii="Times New Roman" w:hAnsi="Times New Roman" w:cs="Times New Roman"/>
          <w:b/>
          <w:bCs/>
          <w:sz w:val="20"/>
          <w:szCs w:val="20"/>
        </w:rPr>
        <w:t>handover</w:t>
      </w:r>
      <w:r>
        <w:rPr>
          <w:rFonts w:ascii="Times New Roman" w:hAnsi="Times New Roman" w:cs="Times New Roman"/>
          <w:b/>
          <w:bCs/>
          <w:sz w:val="20"/>
          <w:szCs w:val="20"/>
        </w:rPr>
        <w:t xml:space="preserve"> of its co-located IAB-MT.</w:t>
      </w:r>
      <w:r w:rsidR="00C11FF9">
        <w:rPr>
          <w:rFonts w:ascii="Times New Roman" w:hAnsi="Times New Roman" w:cs="Times New Roman"/>
          <w:b/>
          <w:bCs/>
          <w:sz w:val="20"/>
          <w:szCs w:val="20"/>
        </w:rPr>
        <w:t xml:space="preserve"> </w:t>
      </w:r>
    </w:p>
    <w:p w14:paraId="7B165706" w14:textId="27C8392C" w:rsidR="00E75F1A" w:rsidRDefault="00E75F1A" w:rsidP="00E75F1A">
      <w:pPr>
        <w:pStyle w:val="af2"/>
        <w:spacing w:before="0" w:beforeAutospacing="0" w:after="120" w:afterAutospacing="0"/>
        <w:rPr>
          <w:rFonts w:ascii="Times New Roman" w:hAnsi="Times New Roman" w:cs="Times New Roman"/>
          <w:sz w:val="20"/>
          <w:szCs w:val="20"/>
        </w:rPr>
      </w:pPr>
      <w:r>
        <w:rPr>
          <w:rFonts w:ascii="Times New Roman" w:hAnsi="Times New Roman" w:cs="Times New Roman"/>
          <w:b/>
          <w:bCs/>
          <w:sz w:val="20"/>
          <w:szCs w:val="20"/>
        </w:rPr>
        <w:t xml:space="preserve">Proposal 2: In case of mobile IAB-node full migration, inter-donor IAB-DU migration can be executed before or after </w:t>
      </w:r>
      <w:r w:rsidR="00A01DED">
        <w:rPr>
          <w:rFonts w:ascii="Times New Roman" w:hAnsi="Times New Roman" w:cs="Times New Roman"/>
          <w:b/>
          <w:bCs/>
          <w:sz w:val="20"/>
          <w:szCs w:val="20"/>
        </w:rPr>
        <w:t xml:space="preserve">inter-donor </w:t>
      </w:r>
      <w:r>
        <w:rPr>
          <w:rFonts w:ascii="Times New Roman" w:hAnsi="Times New Roman" w:cs="Times New Roman"/>
          <w:b/>
          <w:bCs/>
          <w:sz w:val="20"/>
          <w:szCs w:val="20"/>
        </w:rPr>
        <w:t xml:space="preserve">IAB-MT handover. </w:t>
      </w:r>
    </w:p>
    <w:p w14:paraId="3DA693DA" w14:textId="77777777" w:rsidR="0035066C" w:rsidRDefault="00906CD5" w:rsidP="00906CD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if the target IAB-donor is a legacy IAB-donor not specific for mobile IAB-node, there is no strong motivation to only perform mobile IAB-DU migration while mobile IAB-MT still terminates to the source IAB-donor-CU. Mobile IAB-node may firstly </w:t>
      </w:r>
      <w:r w:rsidRPr="009F235E">
        <w:rPr>
          <w:rFonts w:ascii="Times New Roman" w:eastAsia="宋体" w:hAnsi="Times New Roman" w:cs="Times New Roman"/>
          <w:kern w:val="0"/>
          <w:sz w:val="20"/>
          <w:szCs w:val="20"/>
        </w:rPr>
        <w:t xml:space="preserve">perform multiple consecutive partial migrations without inter-donor </w:t>
      </w:r>
      <w:r>
        <w:rPr>
          <w:rFonts w:ascii="Times New Roman" w:eastAsia="宋体" w:hAnsi="Times New Roman" w:cs="Times New Roman"/>
          <w:kern w:val="0"/>
          <w:sz w:val="20"/>
          <w:szCs w:val="20"/>
        </w:rPr>
        <w:t xml:space="preserve">IAB-DU </w:t>
      </w:r>
      <w:r w:rsidRPr="009F235E">
        <w:rPr>
          <w:rFonts w:ascii="Times New Roman" w:eastAsia="宋体" w:hAnsi="Times New Roman" w:cs="Times New Roman"/>
          <w:kern w:val="0"/>
          <w:sz w:val="20"/>
          <w:szCs w:val="20"/>
        </w:rPr>
        <w:t>migration</w:t>
      </w:r>
      <w:r>
        <w:rPr>
          <w:rFonts w:ascii="Times New Roman" w:eastAsia="宋体" w:hAnsi="Times New Roman" w:cs="Times New Roman"/>
          <w:kern w:val="0"/>
          <w:sz w:val="20"/>
          <w:szCs w:val="20"/>
        </w:rPr>
        <w:t xml:space="preserve">, and then IAB-MT and IAB-DU perform migration to </w:t>
      </w:r>
      <w:r w:rsidR="00C87699">
        <w:rPr>
          <w:rFonts w:ascii="Times New Roman" w:eastAsia="宋体" w:hAnsi="Times New Roman" w:cs="Times New Roman"/>
          <w:kern w:val="0"/>
          <w:sz w:val="20"/>
          <w:szCs w:val="20"/>
        </w:rPr>
        <w:t>the same</w:t>
      </w:r>
      <w:r>
        <w:rPr>
          <w:rFonts w:ascii="Times New Roman" w:eastAsia="宋体" w:hAnsi="Times New Roman" w:cs="Times New Roman"/>
          <w:kern w:val="0"/>
          <w:sz w:val="20"/>
          <w:szCs w:val="20"/>
        </w:rPr>
        <w:t xml:space="preserve"> target IAB-donor-CU, if needed. </w:t>
      </w:r>
    </w:p>
    <w:p w14:paraId="7287B2B8" w14:textId="11607CF6" w:rsidR="00906CD5" w:rsidRPr="0086765A" w:rsidRDefault="00906CD5" w:rsidP="00906CD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based on the agreements from last meeting, </w:t>
      </w:r>
      <w:r w:rsidRPr="00906CD5">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IAB-</w:t>
      </w:r>
      <w:r w:rsidRPr="00906CD5">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w:t>
      </w:r>
      <w:r w:rsidRPr="00906CD5">
        <w:rPr>
          <w:rFonts w:ascii="Times New Roman" w:eastAsia="宋体" w:hAnsi="Times New Roman" w:cs="Times New Roman"/>
          <w:kern w:val="0"/>
          <w:sz w:val="20"/>
          <w:szCs w:val="20"/>
        </w:rPr>
        <w:t>CU serving the m</w:t>
      </w:r>
      <w:r>
        <w:rPr>
          <w:rFonts w:ascii="Times New Roman" w:eastAsia="宋体" w:hAnsi="Times New Roman" w:cs="Times New Roman"/>
          <w:kern w:val="0"/>
          <w:sz w:val="20"/>
          <w:szCs w:val="20"/>
        </w:rPr>
        <w:t xml:space="preserve">obile </w:t>
      </w:r>
      <w:r w:rsidRPr="00906CD5">
        <w:rPr>
          <w:rFonts w:ascii="Times New Roman" w:eastAsia="宋体" w:hAnsi="Times New Roman" w:cs="Times New Roman"/>
          <w:kern w:val="0"/>
          <w:sz w:val="20"/>
          <w:szCs w:val="20"/>
        </w:rPr>
        <w:t>IAB-DU is informed about the m</w:t>
      </w:r>
      <w:r>
        <w:rPr>
          <w:rFonts w:ascii="Times New Roman" w:eastAsia="宋体" w:hAnsi="Times New Roman" w:cs="Times New Roman"/>
          <w:kern w:val="0"/>
          <w:sz w:val="20"/>
          <w:szCs w:val="20"/>
        </w:rPr>
        <w:t xml:space="preserve">obile </w:t>
      </w:r>
      <w:r w:rsidRPr="00906CD5">
        <w:rPr>
          <w:rFonts w:ascii="Times New Roman" w:eastAsia="宋体" w:hAnsi="Times New Roman" w:cs="Times New Roman"/>
          <w:kern w:val="0"/>
          <w:sz w:val="20"/>
          <w:szCs w:val="20"/>
        </w:rPr>
        <w:t xml:space="preserve">IAB-MT </w:t>
      </w:r>
      <w:r>
        <w:rPr>
          <w:rFonts w:ascii="Times New Roman" w:eastAsia="宋体" w:hAnsi="Times New Roman" w:cs="Times New Roman"/>
          <w:kern w:val="0"/>
          <w:sz w:val="20"/>
          <w:szCs w:val="20"/>
        </w:rPr>
        <w:t xml:space="preserve">handover in case of </w:t>
      </w:r>
      <w:r w:rsidRPr="009F235E">
        <w:rPr>
          <w:rFonts w:ascii="Times New Roman" w:eastAsia="宋体" w:hAnsi="Times New Roman" w:cs="Times New Roman"/>
          <w:kern w:val="0"/>
          <w:sz w:val="20"/>
          <w:szCs w:val="20"/>
        </w:rPr>
        <w:t>consecutive partial migration</w:t>
      </w:r>
      <w:r>
        <w:rPr>
          <w:rFonts w:ascii="Times New Roman" w:eastAsia="宋体" w:hAnsi="Times New Roman" w:cs="Times New Roman"/>
          <w:kern w:val="0"/>
          <w:sz w:val="20"/>
          <w:szCs w:val="20"/>
        </w:rPr>
        <w:t xml:space="preserve">, then, </w:t>
      </w:r>
      <w:r w:rsidRPr="00906CD5">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IAB-</w:t>
      </w:r>
      <w:r w:rsidRPr="00906CD5">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w:t>
      </w:r>
      <w:r w:rsidRPr="00906CD5">
        <w:rPr>
          <w:rFonts w:ascii="Times New Roman" w:eastAsia="宋体" w:hAnsi="Times New Roman" w:cs="Times New Roman"/>
          <w:kern w:val="0"/>
          <w:sz w:val="20"/>
          <w:szCs w:val="20"/>
        </w:rPr>
        <w:t>CU serving the m</w:t>
      </w:r>
      <w:r>
        <w:rPr>
          <w:rFonts w:ascii="Times New Roman" w:eastAsia="宋体" w:hAnsi="Times New Roman" w:cs="Times New Roman"/>
          <w:kern w:val="0"/>
          <w:sz w:val="20"/>
          <w:szCs w:val="20"/>
        </w:rPr>
        <w:t xml:space="preserve">obile </w:t>
      </w:r>
      <w:r w:rsidRPr="00906CD5">
        <w:rPr>
          <w:rFonts w:ascii="Times New Roman" w:eastAsia="宋体" w:hAnsi="Times New Roman" w:cs="Times New Roman"/>
          <w:kern w:val="0"/>
          <w:sz w:val="20"/>
          <w:szCs w:val="20"/>
        </w:rPr>
        <w:t xml:space="preserve">IAB-DU </w:t>
      </w:r>
      <w:r w:rsidR="00AD2CD0">
        <w:rPr>
          <w:rFonts w:ascii="Times New Roman" w:eastAsia="宋体" w:hAnsi="Times New Roman" w:cs="Times New Roman"/>
          <w:kern w:val="0"/>
          <w:sz w:val="20"/>
          <w:szCs w:val="20"/>
        </w:rPr>
        <w:t>may</w:t>
      </w:r>
      <w:r w:rsidRPr="00906CD5">
        <w:rPr>
          <w:rFonts w:ascii="Times New Roman" w:eastAsia="宋体" w:hAnsi="Times New Roman" w:cs="Times New Roman"/>
          <w:kern w:val="0"/>
          <w:sz w:val="20"/>
          <w:szCs w:val="20"/>
        </w:rPr>
        <w:t xml:space="preserve"> trigger mobile IAB-DU inter-donor migration based on </w:t>
      </w:r>
      <w:r w:rsidR="0077260E" w:rsidRPr="00906CD5">
        <w:rPr>
          <w:rFonts w:ascii="Times New Roman" w:eastAsia="宋体" w:hAnsi="Times New Roman" w:cs="Times New Roman"/>
          <w:kern w:val="0"/>
          <w:sz w:val="20"/>
          <w:szCs w:val="20"/>
        </w:rPr>
        <w:t xml:space="preserve">the </w:t>
      </w:r>
      <w:r w:rsidR="00AD2CD0">
        <w:rPr>
          <w:rFonts w:ascii="Times New Roman" w:eastAsia="宋体" w:hAnsi="Times New Roman" w:cs="Times New Roman"/>
          <w:kern w:val="0"/>
          <w:sz w:val="20"/>
          <w:szCs w:val="20"/>
        </w:rPr>
        <w:t>indication</w:t>
      </w:r>
      <w:r w:rsidR="0077260E">
        <w:rPr>
          <w:rFonts w:ascii="Times New Roman" w:eastAsia="宋体" w:hAnsi="Times New Roman" w:cs="Times New Roman"/>
          <w:kern w:val="0"/>
          <w:sz w:val="20"/>
          <w:szCs w:val="20"/>
        </w:rPr>
        <w:t xml:space="preserve"> of </w:t>
      </w:r>
      <w:r w:rsidRPr="00906CD5">
        <w:rPr>
          <w:rFonts w:ascii="Times New Roman" w:eastAsia="宋体" w:hAnsi="Times New Roman" w:cs="Times New Roman"/>
          <w:kern w:val="0"/>
          <w:sz w:val="20"/>
          <w:szCs w:val="20"/>
        </w:rPr>
        <w:t xml:space="preserve">mobile IAB-MT </w:t>
      </w:r>
      <w:r>
        <w:rPr>
          <w:rFonts w:ascii="Times New Roman" w:eastAsia="宋体" w:hAnsi="Times New Roman" w:cs="Times New Roman"/>
          <w:kern w:val="0"/>
          <w:sz w:val="20"/>
          <w:szCs w:val="20"/>
        </w:rPr>
        <w:t>handover</w:t>
      </w:r>
      <w:r w:rsidR="00AD2CD0">
        <w:rPr>
          <w:rFonts w:ascii="Times New Roman" w:eastAsia="宋体" w:hAnsi="Times New Roman" w:cs="Times New Roman"/>
          <w:kern w:val="0"/>
          <w:sz w:val="20"/>
          <w:szCs w:val="20"/>
        </w:rPr>
        <w:t>.</w:t>
      </w:r>
    </w:p>
    <w:p w14:paraId="3401845D" w14:textId="63BA4293" w:rsidR="00C87699" w:rsidRDefault="00C87699" w:rsidP="00C87699">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3: In case of mobile IAB-node consecutive partial migration, F1-terminating IAB-donor-CU </w:t>
      </w:r>
      <w:r w:rsidR="00AD2CD0">
        <w:rPr>
          <w:rFonts w:ascii="Times New Roman" w:hAnsi="Times New Roman" w:cs="Times New Roman"/>
          <w:b/>
          <w:bCs/>
          <w:sz w:val="20"/>
          <w:szCs w:val="20"/>
        </w:rPr>
        <w:t>may</w:t>
      </w:r>
      <w:r>
        <w:rPr>
          <w:rFonts w:ascii="Times New Roman" w:hAnsi="Times New Roman" w:cs="Times New Roman"/>
          <w:b/>
          <w:bCs/>
          <w:sz w:val="20"/>
          <w:szCs w:val="20"/>
        </w:rPr>
        <w:t xml:space="preserve"> trigger mobile IAB-DU inter-donor migration based on the </w:t>
      </w:r>
      <w:r w:rsidR="00AD2CD0">
        <w:rPr>
          <w:rFonts w:ascii="Times New Roman" w:hAnsi="Times New Roman" w:cs="Times New Roman"/>
          <w:b/>
          <w:bCs/>
          <w:sz w:val="20"/>
          <w:szCs w:val="20"/>
        </w:rPr>
        <w:t>indication</w:t>
      </w:r>
      <w:r w:rsidR="0077260E">
        <w:rPr>
          <w:rFonts w:ascii="Times New Roman" w:hAnsi="Times New Roman" w:cs="Times New Roman"/>
          <w:b/>
          <w:bCs/>
          <w:sz w:val="20"/>
          <w:szCs w:val="20"/>
        </w:rPr>
        <w:t xml:space="preserve"> of </w:t>
      </w:r>
      <w:r>
        <w:rPr>
          <w:rFonts w:ascii="Times New Roman" w:hAnsi="Times New Roman" w:cs="Times New Roman"/>
          <w:b/>
          <w:bCs/>
          <w:sz w:val="20"/>
          <w:szCs w:val="20"/>
        </w:rPr>
        <w:t xml:space="preserve">mobile IAB-MT </w:t>
      </w:r>
      <w:r w:rsidR="0077260E">
        <w:rPr>
          <w:rFonts w:ascii="Times New Roman" w:hAnsi="Times New Roman" w:cs="Times New Roman"/>
          <w:b/>
          <w:bCs/>
          <w:sz w:val="20"/>
          <w:szCs w:val="20"/>
        </w:rPr>
        <w:t>handover</w:t>
      </w:r>
      <w:r>
        <w:rPr>
          <w:rFonts w:ascii="Times New Roman" w:hAnsi="Times New Roman" w:cs="Times New Roman"/>
          <w:b/>
          <w:bCs/>
          <w:sz w:val="20"/>
          <w:szCs w:val="20"/>
        </w:rPr>
        <w:t>.</w:t>
      </w:r>
    </w:p>
    <w:p w14:paraId="2EA13FB9" w14:textId="132D7935" w:rsidR="00E75F1A" w:rsidRPr="006F5954" w:rsidRDefault="002D476B" w:rsidP="006F5954">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UE handover during</w:t>
      </w:r>
      <w:r w:rsidRPr="008D16AC">
        <w:rPr>
          <w:rFonts w:ascii="Times New Roman" w:eastAsia="宋体" w:hAnsi="Times New Roman" w:cs="Times New Roman"/>
          <w:b/>
          <w:bCs/>
          <w:kern w:val="0"/>
          <w:sz w:val="22"/>
          <w:u w:val="single"/>
        </w:rPr>
        <w:t xml:space="preserve"> mobile IAB-DU migration</w:t>
      </w:r>
    </w:p>
    <w:tbl>
      <w:tblPr>
        <w:tblW w:w="97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6F5954" w14:paraId="15919B5C" w14:textId="77777777" w:rsidTr="007215DC">
        <w:trPr>
          <w:trHeight w:val="1141"/>
        </w:trPr>
        <w:tc>
          <w:tcPr>
            <w:tcW w:w="9780" w:type="dxa"/>
          </w:tcPr>
          <w:p w14:paraId="12E1C9B4" w14:textId="77777777" w:rsidR="007215DC" w:rsidRPr="000333B0" w:rsidRDefault="007215DC" w:rsidP="007215DC">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AN3 117bis-e</w:t>
            </w:r>
            <w:r>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06C09122" w14:textId="7EC3A53A" w:rsidR="006F5954" w:rsidRPr="00B51320" w:rsidRDefault="006F5954" w:rsidP="006F5954">
            <w:pPr>
              <w:rPr>
                <w:rFonts w:ascii="Calibri" w:hAnsi="Calibri" w:cs="Calibri"/>
                <w:b/>
                <w:color w:val="008000"/>
                <w:sz w:val="18"/>
                <w:szCs w:val="18"/>
              </w:rPr>
            </w:pPr>
            <w:r w:rsidRPr="00B51320">
              <w:rPr>
                <w:rFonts w:ascii="Calibri" w:hAnsi="Calibri" w:cs="Calibri"/>
                <w:b/>
                <w:color w:val="008000"/>
                <w:sz w:val="18"/>
                <w:szCs w:val="18"/>
              </w:rPr>
              <w:t xml:space="preserve">To hand over the UEs between the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-DUs, the source donor CU for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should be notified about the cell IDs served by the second (target)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w:t>
            </w:r>
          </w:p>
          <w:p w14:paraId="4DD8E9E3" w14:textId="61EA90D8" w:rsidR="006F5954" w:rsidRPr="006F5954" w:rsidRDefault="006F5954" w:rsidP="006F5954">
            <w:pPr>
              <w:rPr>
                <w:rFonts w:ascii="Calibri" w:hAnsi="Calibri" w:cs="Calibri"/>
                <w:b/>
                <w:color w:val="008000"/>
                <w:sz w:val="18"/>
                <w:szCs w:val="18"/>
              </w:rPr>
            </w:pPr>
            <w:r w:rsidRPr="00B51320">
              <w:rPr>
                <w:rFonts w:ascii="Calibri" w:hAnsi="Calibri" w:cs="Calibri"/>
                <w:b/>
                <w:color w:val="008000"/>
                <w:sz w:val="18"/>
                <w:szCs w:val="18"/>
              </w:rPr>
              <w:t xml:space="preserve">The source donor CU for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should be informed that the second logical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 has successfully established an F1 connection towards the target CU. Details are FFS.</w:t>
            </w:r>
          </w:p>
        </w:tc>
      </w:tr>
    </w:tbl>
    <w:p w14:paraId="4145EC77" w14:textId="77777777" w:rsidR="00DB349E" w:rsidRDefault="00DB349E" w:rsidP="00DB349E">
      <w:pPr>
        <w:widowControl/>
        <w:overflowPunct w:val="0"/>
        <w:autoSpaceDE w:val="0"/>
        <w:autoSpaceDN w:val="0"/>
        <w:adjustRightInd w:val="0"/>
        <w:spacing w:beforeLines="100" w:before="240" w:after="120"/>
        <w:jc w:val="center"/>
        <w:textAlignment w:val="baseline"/>
      </w:pPr>
      <w:r>
        <w:object w:dxaOrig="5301" w:dyaOrig="3931" w14:anchorId="6458E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7" o:title=""/>
          </v:shape>
          <o:OLEObject Type="Embed" ProgID="Visio.Drawing.15" ShapeID="_x0000_i1025" DrawAspect="Content" ObjectID="_1729059628" r:id="rId8"/>
        </w:object>
      </w:r>
    </w:p>
    <w:p w14:paraId="328D5DE2" w14:textId="77777777" w:rsidR="00DB349E" w:rsidRPr="005750E7" w:rsidRDefault="00DB349E" w:rsidP="00DB349E">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515C3B74" w14:textId="5A61BDB6" w:rsidR="004B5498" w:rsidRDefault="004B5498" w:rsidP="004B549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case of inter-donor mobile IAB-DU migration, the mobile IAB-node will support two logical IAB-DUs which have their F1 connections to source and target IAB-donor-CU, respectively. And the served connected UEs perform handover from the cell of the source logical IAB-DU to the cell of the target logical IAB-DU. </w:t>
      </w:r>
    </w:p>
    <w:p w14:paraId="745779F8" w14:textId="77777777" w:rsidR="00DB349E" w:rsidRDefault="00DB349E" w:rsidP="00DB349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the IAB-MT of mobile IAB-node migrates from source IAB-donor1 to target IAB-donor2, and the mobile IAB-node has two logical IAB-DUs that IAB-DU1 terminated at IAB-donor-CU1 and IAB-DU2 terminated at IAB-donor-CU2. As for a served UE of the mobile IAB-node, it performs migration from IAB-DU1 to IAB-DU2.</w:t>
      </w:r>
    </w:p>
    <w:p w14:paraId="75569DA5" w14:textId="21CC8768" w:rsidR="003D1A6D" w:rsidRDefault="008A0379"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handover procedure, gNB triggers handover for UE based on the measurement report and sends the Handover Request to target gNB with the information of target cell ID. Therefore, the target logical IAB-DU shall setup F1 interface with target IAB-donor-CU and the cell(s) of the target logical IAB-DU shall be activated before the UE handover in case IAB-DU migration. </w:t>
      </w:r>
      <w:r w:rsidR="007679B4">
        <w:rPr>
          <w:rFonts w:ascii="Times New Roman" w:eastAsia="宋体" w:hAnsi="Times New Roman" w:cs="Times New Roman"/>
          <w:kern w:val="0"/>
          <w:sz w:val="20"/>
          <w:szCs w:val="20"/>
        </w:rPr>
        <w:t>And the source IAB-donor-CU should be notified with the F1 setup completion between target logical IAB-DU and target IAB-donor-CU and the cell</w:t>
      </w:r>
      <w:r w:rsidR="0046170B">
        <w:rPr>
          <w:rFonts w:ascii="Times New Roman" w:eastAsia="宋体" w:hAnsi="Times New Roman" w:cs="Times New Roman"/>
          <w:kern w:val="0"/>
          <w:sz w:val="20"/>
          <w:szCs w:val="20"/>
        </w:rPr>
        <w:t>(s)</w:t>
      </w:r>
      <w:r w:rsidR="007679B4">
        <w:rPr>
          <w:rFonts w:ascii="Times New Roman" w:eastAsia="宋体" w:hAnsi="Times New Roman" w:cs="Times New Roman"/>
          <w:kern w:val="0"/>
          <w:sz w:val="20"/>
          <w:szCs w:val="20"/>
        </w:rPr>
        <w:t xml:space="preserve"> </w:t>
      </w:r>
      <w:r w:rsidR="007679B4" w:rsidRPr="007679B4">
        <w:rPr>
          <w:rFonts w:ascii="Times New Roman" w:eastAsia="宋体" w:hAnsi="Times New Roman" w:cs="Times New Roman"/>
          <w:kern w:val="0"/>
          <w:sz w:val="20"/>
          <w:szCs w:val="20"/>
        </w:rPr>
        <w:t xml:space="preserve">of second logical </w:t>
      </w:r>
      <w:r w:rsidR="00955912">
        <w:rPr>
          <w:rFonts w:ascii="Times New Roman" w:eastAsia="宋体" w:hAnsi="Times New Roman" w:cs="Times New Roman"/>
          <w:kern w:val="0"/>
          <w:sz w:val="20"/>
          <w:szCs w:val="20"/>
        </w:rPr>
        <w:t>IAB-</w:t>
      </w:r>
      <w:r w:rsidR="007679B4" w:rsidRPr="007679B4">
        <w:rPr>
          <w:rFonts w:ascii="Times New Roman" w:eastAsia="宋体" w:hAnsi="Times New Roman" w:cs="Times New Roman"/>
          <w:kern w:val="0"/>
          <w:sz w:val="20"/>
          <w:szCs w:val="20"/>
        </w:rPr>
        <w:t>DU</w:t>
      </w:r>
      <w:r w:rsidR="007679B4">
        <w:rPr>
          <w:rFonts w:ascii="Times New Roman" w:eastAsia="宋体" w:hAnsi="Times New Roman" w:cs="Times New Roman"/>
          <w:kern w:val="0"/>
          <w:sz w:val="20"/>
          <w:szCs w:val="20"/>
        </w:rPr>
        <w:t>.</w:t>
      </w:r>
    </w:p>
    <w:p w14:paraId="6BF908D3" w14:textId="0DD61C22" w:rsidR="00511BB9" w:rsidRPr="0046170B" w:rsidRDefault="0046170B"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the cell</w:t>
      </w:r>
      <w:r w:rsidR="00955912">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w:t>
      </w:r>
      <w:r w:rsidRPr="007679B4">
        <w:rPr>
          <w:rFonts w:ascii="Times New Roman" w:eastAsia="宋体" w:hAnsi="Times New Roman" w:cs="Times New Roman"/>
          <w:kern w:val="0"/>
          <w:sz w:val="20"/>
          <w:szCs w:val="20"/>
        </w:rPr>
        <w:t xml:space="preserve">of second logical </w:t>
      </w:r>
      <w:r w:rsidR="00955912">
        <w:rPr>
          <w:rFonts w:ascii="Times New Roman" w:eastAsia="宋体" w:hAnsi="Times New Roman" w:cs="Times New Roman"/>
          <w:kern w:val="0"/>
          <w:sz w:val="20"/>
          <w:szCs w:val="20"/>
        </w:rPr>
        <w:t>IAB-</w:t>
      </w:r>
      <w:r w:rsidRPr="007679B4">
        <w:rPr>
          <w:rFonts w:ascii="Times New Roman" w:eastAsia="宋体" w:hAnsi="Times New Roman" w:cs="Times New Roman"/>
          <w:kern w:val="0"/>
          <w:sz w:val="20"/>
          <w:szCs w:val="20"/>
        </w:rPr>
        <w:t>DU</w:t>
      </w:r>
      <w:r w:rsidR="00955912">
        <w:rPr>
          <w:rFonts w:ascii="Times New Roman" w:eastAsia="宋体" w:hAnsi="Times New Roman" w:cs="Times New Roman"/>
          <w:kern w:val="0"/>
          <w:sz w:val="20"/>
          <w:szCs w:val="20"/>
        </w:rPr>
        <w:t xml:space="preserve">, it can be informed by target IAB-donor-CU after F1 setup between target logical IAB-DU and target IAB-donor-CU. Alternatively, the cell(s) </w:t>
      </w:r>
      <w:r w:rsidR="00955912" w:rsidRPr="007679B4">
        <w:rPr>
          <w:rFonts w:ascii="Times New Roman" w:eastAsia="宋体" w:hAnsi="Times New Roman" w:cs="Times New Roman"/>
          <w:kern w:val="0"/>
          <w:sz w:val="20"/>
          <w:szCs w:val="20"/>
        </w:rPr>
        <w:t xml:space="preserve">of second logical </w:t>
      </w:r>
      <w:r w:rsidR="00955912">
        <w:rPr>
          <w:rFonts w:ascii="Times New Roman" w:eastAsia="宋体" w:hAnsi="Times New Roman" w:cs="Times New Roman"/>
          <w:kern w:val="0"/>
          <w:sz w:val="20"/>
          <w:szCs w:val="20"/>
        </w:rPr>
        <w:t>IAB-</w:t>
      </w:r>
      <w:r w:rsidR="00955912" w:rsidRPr="007679B4">
        <w:rPr>
          <w:rFonts w:ascii="Times New Roman" w:eastAsia="宋体" w:hAnsi="Times New Roman" w:cs="Times New Roman"/>
          <w:kern w:val="0"/>
          <w:sz w:val="20"/>
          <w:szCs w:val="20"/>
        </w:rPr>
        <w:t>DU</w:t>
      </w:r>
      <w:r w:rsidR="00955912">
        <w:rPr>
          <w:rFonts w:ascii="Times New Roman" w:eastAsia="宋体" w:hAnsi="Times New Roman" w:cs="Times New Roman"/>
          <w:kern w:val="0"/>
          <w:sz w:val="20"/>
          <w:szCs w:val="20"/>
        </w:rPr>
        <w:t xml:space="preserve"> can be informed to source IAB-donor-CU by the mobile IAB-node itself, and the source IAB-donor-CU can configure the measurement for these cells quickly.</w:t>
      </w:r>
    </w:p>
    <w:p w14:paraId="6CF15D00" w14:textId="20B41A7C" w:rsidR="00955912" w:rsidRDefault="00955912" w:rsidP="00955912">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4: </w:t>
      </w:r>
      <w:r w:rsidR="00232579">
        <w:rPr>
          <w:rFonts w:ascii="Times New Roman" w:hAnsi="Times New Roman" w:cs="Times New Roman"/>
          <w:b/>
          <w:bCs/>
          <w:sz w:val="20"/>
          <w:szCs w:val="20"/>
        </w:rPr>
        <w:t>S</w:t>
      </w:r>
      <w:r>
        <w:rPr>
          <w:rFonts w:ascii="Times New Roman" w:hAnsi="Times New Roman" w:cs="Times New Roman"/>
          <w:b/>
          <w:bCs/>
          <w:sz w:val="20"/>
          <w:szCs w:val="20"/>
        </w:rPr>
        <w:t xml:space="preserve">ource </w:t>
      </w:r>
      <w:r w:rsidR="00DD2E24">
        <w:rPr>
          <w:rFonts w:ascii="Times New Roman" w:hAnsi="Times New Roman" w:cs="Times New Roman"/>
          <w:b/>
          <w:bCs/>
          <w:sz w:val="20"/>
          <w:szCs w:val="20"/>
        </w:rPr>
        <w:t>IAB-donor-</w:t>
      </w:r>
      <w:r>
        <w:rPr>
          <w:rFonts w:ascii="Times New Roman" w:hAnsi="Times New Roman" w:cs="Times New Roman"/>
          <w:b/>
          <w:bCs/>
          <w:sz w:val="20"/>
          <w:szCs w:val="20"/>
        </w:rPr>
        <w:t xml:space="preserve">CU for IAB-DU migration is informed by mobile IAB-node about the </w:t>
      </w:r>
      <w:r w:rsidRPr="00955912">
        <w:rPr>
          <w:rFonts w:ascii="Times New Roman" w:hAnsi="Times New Roman" w:cs="Times New Roman"/>
          <w:b/>
          <w:bCs/>
          <w:sz w:val="20"/>
          <w:szCs w:val="20"/>
        </w:rPr>
        <w:t>cell IDs served by second (target) logical IAB-DU</w:t>
      </w:r>
      <w:r>
        <w:rPr>
          <w:rFonts w:ascii="Times New Roman" w:hAnsi="Times New Roman" w:cs="Times New Roman"/>
          <w:b/>
          <w:bCs/>
          <w:sz w:val="20"/>
          <w:szCs w:val="20"/>
        </w:rPr>
        <w:t>.</w:t>
      </w:r>
    </w:p>
    <w:p w14:paraId="579A16FD" w14:textId="1100BF35" w:rsidR="003E2855" w:rsidRDefault="00DD2E24"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A</w:t>
      </w:r>
      <w:r>
        <w:rPr>
          <w:rFonts w:ascii="Times New Roman" w:eastAsia="宋体" w:hAnsi="Times New Roman" w:cs="Times New Roman"/>
          <w:kern w:val="0"/>
          <w:sz w:val="20"/>
          <w:szCs w:val="20"/>
        </w:rPr>
        <w:t>s for the F1 setup completion between target logical IAB-DU and target IAB-donor-CU, it’s better to be informed by the target IAB-donor-CU at the same time with sending the F1 SETUP RESPONSE message to accelerate the whole procedure and reduce the latency.</w:t>
      </w:r>
    </w:p>
    <w:p w14:paraId="63163F8C" w14:textId="6E1B1C66" w:rsidR="003E2855" w:rsidRDefault="003E2855" w:rsidP="00C87699">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w:t>
      </w:r>
      <w:r w:rsidR="00DD2E24">
        <w:rPr>
          <w:rFonts w:ascii="Times New Roman" w:hAnsi="Times New Roman" w:cs="Times New Roman"/>
          <w:b/>
          <w:bCs/>
          <w:sz w:val="20"/>
          <w:szCs w:val="20"/>
        </w:rPr>
        <w:t>5</w:t>
      </w:r>
      <w:r>
        <w:rPr>
          <w:rFonts w:ascii="Times New Roman" w:hAnsi="Times New Roman" w:cs="Times New Roman"/>
          <w:b/>
          <w:bCs/>
          <w:sz w:val="20"/>
          <w:szCs w:val="20"/>
        </w:rPr>
        <w:t xml:space="preserve">: </w:t>
      </w:r>
      <w:r w:rsidR="00D90310">
        <w:rPr>
          <w:rFonts w:ascii="Times New Roman" w:hAnsi="Times New Roman" w:cs="Times New Roman"/>
          <w:b/>
          <w:bCs/>
          <w:sz w:val="20"/>
          <w:szCs w:val="20"/>
        </w:rPr>
        <w:t>S</w:t>
      </w:r>
      <w:r w:rsidR="00DD2E24">
        <w:rPr>
          <w:rFonts w:ascii="Times New Roman" w:hAnsi="Times New Roman" w:cs="Times New Roman"/>
          <w:b/>
          <w:bCs/>
          <w:sz w:val="20"/>
          <w:szCs w:val="20"/>
        </w:rPr>
        <w:t xml:space="preserve">ource IAB-donor-CU for IAB-DU migration is informed by </w:t>
      </w:r>
      <w:r>
        <w:rPr>
          <w:rFonts w:ascii="Times New Roman" w:hAnsi="Times New Roman" w:cs="Times New Roman"/>
          <w:b/>
          <w:bCs/>
          <w:sz w:val="20"/>
          <w:szCs w:val="20"/>
        </w:rPr>
        <w:t xml:space="preserve">target </w:t>
      </w:r>
      <w:r w:rsidR="00232579">
        <w:rPr>
          <w:rFonts w:ascii="Times New Roman" w:hAnsi="Times New Roman" w:cs="Times New Roman"/>
          <w:b/>
          <w:bCs/>
          <w:sz w:val="20"/>
          <w:szCs w:val="20"/>
        </w:rPr>
        <w:t>IAB-donor-CU</w:t>
      </w:r>
      <w:r>
        <w:rPr>
          <w:rFonts w:ascii="Times New Roman" w:hAnsi="Times New Roman" w:cs="Times New Roman"/>
          <w:b/>
          <w:bCs/>
          <w:sz w:val="20"/>
          <w:szCs w:val="20"/>
        </w:rPr>
        <w:t xml:space="preserve"> about the F1 setup completion </w:t>
      </w:r>
      <w:r w:rsidR="00DD2E24">
        <w:rPr>
          <w:rFonts w:ascii="Times New Roman" w:hAnsi="Times New Roman" w:cs="Times New Roman"/>
          <w:b/>
          <w:bCs/>
          <w:sz w:val="20"/>
          <w:szCs w:val="20"/>
        </w:rPr>
        <w:t xml:space="preserve">between </w:t>
      </w:r>
      <w:r w:rsidR="00DD2E24" w:rsidRPr="00DD2E24">
        <w:rPr>
          <w:rFonts w:ascii="Times New Roman" w:hAnsi="Times New Roman" w:cs="Times New Roman"/>
          <w:b/>
          <w:bCs/>
          <w:sz w:val="20"/>
          <w:szCs w:val="20"/>
        </w:rPr>
        <w:t>target logical IAB-DU and</w:t>
      </w:r>
      <w:r w:rsidR="00232579">
        <w:rPr>
          <w:rFonts w:ascii="Times New Roman" w:hAnsi="Times New Roman" w:cs="Times New Roman"/>
          <w:b/>
          <w:bCs/>
          <w:sz w:val="20"/>
          <w:szCs w:val="20"/>
        </w:rPr>
        <w:t xml:space="preserve"> </w:t>
      </w:r>
      <w:r w:rsidR="00DD2E24" w:rsidRPr="00DD2E24">
        <w:rPr>
          <w:rFonts w:ascii="Times New Roman" w:hAnsi="Times New Roman" w:cs="Times New Roman"/>
          <w:b/>
          <w:bCs/>
          <w:sz w:val="20"/>
          <w:szCs w:val="20"/>
        </w:rPr>
        <w:t>target IAB-donor-CU</w:t>
      </w:r>
      <w:r>
        <w:rPr>
          <w:rFonts w:ascii="Times New Roman" w:hAnsi="Times New Roman" w:cs="Times New Roman"/>
          <w:b/>
          <w:bCs/>
          <w:sz w:val="20"/>
          <w:szCs w:val="20"/>
        </w:rPr>
        <w:t>.</w:t>
      </w:r>
      <w:r w:rsidR="00FB0D47">
        <w:rPr>
          <w:rFonts w:ascii="Times New Roman" w:hAnsi="Times New Roman" w:cs="Times New Roman"/>
          <w:b/>
          <w:bCs/>
          <w:sz w:val="20"/>
          <w:szCs w:val="20"/>
        </w:rPr>
        <w:t xml:space="preserve"> </w:t>
      </w:r>
    </w:p>
    <w:p w14:paraId="6D2CB285" w14:textId="66C995F8" w:rsidR="001213D8" w:rsidRPr="00AC737C" w:rsidRDefault="00AC737C" w:rsidP="00AC737C">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sidRPr="00AC737C">
        <w:rPr>
          <w:rFonts w:ascii="Times New Roman" w:eastAsia="宋体" w:hAnsi="Times New Roman" w:cs="Times New Roman"/>
          <w:b/>
          <w:bCs/>
          <w:kern w:val="0"/>
          <w:sz w:val="22"/>
          <w:u w:val="single"/>
        </w:rPr>
        <w:t>Absence of IP</w:t>
      </w:r>
      <w:r w:rsidR="001213D8">
        <w:rPr>
          <w:rFonts w:ascii="Times New Roman" w:eastAsia="宋体" w:hAnsi="Times New Roman" w:cs="Times New Roman"/>
          <w:b/>
          <w:bCs/>
          <w:kern w:val="0"/>
          <w:sz w:val="22"/>
          <w:u w:val="single"/>
        </w:rPr>
        <w:t xml:space="preserve"> or Xn</w:t>
      </w:r>
      <w:r w:rsidRPr="00AC737C">
        <w:rPr>
          <w:rFonts w:ascii="Times New Roman" w:eastAsia="宋体" w:hAnsi="Times New Roman" w:cs="Times New Roman"/>
          <w:b/>
          <w:bCs/>
          <w:kern w:val="0"/>
          <w:sz w:val="22"/>
          <w:u w:val="single"/>
        </w:rPr>
        <w:t xml:space="preserve"> connection</w:t>
      </w:r>
    </w:p>
    <w:tbl>
      <w:tblPr>
        <w:tblW w:w="978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1213D8" w14:paraId="6A71C8AE" w14:textId="77777777" w:rsidTr="001213D8">
        <w:trPr>
          <w:trHeight w:val="190"/>
        </w:trPr>
        <w:tc>
          <w:tcPr>
            <w:tcW w:w="9780" w:type="dxa"/>
          </w:tcPr>
          <w:p w14:paraId="09FCCCA3" w14:textId="77777777" w:rsidR="00D4129C" w:rsidRPr="000333B0" w:rsidRDefault="00D4129C" w:rsidP="00D4129C">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AN3 117-e</w:t>
            </w:r>
            <w:r>
              <w:rPr>
                <w:rFonts w:ascii="Times New Roman" w:eastAsia="宋体" w:hAnsi="Times New Roman" w:cs="Times New Roman"/>
                <w:kern w:val="0"/>
                <w:sz w:val="20"/>
                <w:szCs w:val="20"/>
              </w:rPr>
              <w:t xml:space="preserve"> [2]</w:t>
            </w:r>
            <w:r w:rsidRPr="000333B0">
              <w:rPr>
                <w:rFonts w:ascii="Times New Roman" w:eastAsia="宋体" w:hAnsi="Times New Roman" w:cs="Times New Roman"/>
                <w:kern w:val="0"/>
                <w:sz w:val="20"/>
                <w:szCs w:val="20"/>
              </w:rPr>
              <w:t>:</w:t>
            </w:r>
          </w:p>
          <w:p w14:paraId="33983AE3" w14:textId="77777777" w:rsidR="00D4129C" w:rsidRPr="0034409C" w:rsidRDefault="00D4129C" w:rsidP="00D4129C">
            <w:pPr>
              <w:rPr>
                <w:rFonts w:ascii="Calibri" w:hAnsi="Calibri" w:cs="Calibri"/>
                <w:b/>
                <w:color w:val="008000"/>
                <w:sz w:val="18"/>
                <w:szCs w:val="18"/>
              </w:rPr>
            </w:pPr>
            <w:r w:rsidRPr="0034409C">
              <w:rPr>
                <w:rFonts w:ascii="Calibri" w:hAnsi="Calibri" w:cs="Calibri"/>
                <w:b/>
                <w:color w:val="008000"/>
                <w:sz w:val="18"/>
                <w:szCs w:val="18"/>
              </w:rPr>
              <w:t>RAN3 to discuss how inter-donor topology adaptation can be supported for mobile IAB in absence of Xn and/or inter-donor IP routability.</w:t>
            </w:r>
          </w:p>
          <w:p w14:paraId="40B45CEF" w14:textId="56B3CED4" w:rsidR="001213D8" w:rsidRPr="00D4129C" w:rsidRDefault="00D4129C" w:rsidP="001213D8">
            <w:pPr>
              <w:rPr>
                <w:rFonts w:ascii="Calibri" w:hAnsi="Calibri" w:cs="Calibri"/>
                <w:b/>
                <w:color w:val="0000FF"/>
                <w:sz w:val="18"/>
                <w:szCs w:val="18"/>
                <w:lang w:eastAsia="en-US"/>
              </w:rPr>
            </w:pPr>
            <w:r>
              <w:rPr>
                <w:rFonts w:ascii="Calibri" w:hAnsi="Calibri" w:cs="Calibri"/>
                <w:b/>
                <w:color w:val="0000FF"/>
                <w:sz w:val="18"/>
                <w:szCs w:val="18"/>
                <w:lang w:eastAsia="en-US"/>
              </w:rPr>
              <w:t>RAN3 to discuss whether F1-C transport over NGAP should be supported for inter-donor topology adaptation for mobile IAB. Other use cases where Xn connectivity is not available may be discussed.</w:t>
            </w:r>
          </w:p>
          <w:p w14:paraId="3F066883" w14:textId="067B3BDE" w:rsidR="001213D8" w:rsidRPr="001213D8" w:rsidRDefault="001213D8" w:rsidP="001213D8">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AN3 117bis-e</w:t>
            </w:r>
            <w:r>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110A8417" w14:textId="682F715B" w:rsidR="001213D8" w:rsidRPr="00B51320" w:rsidRDefault="001213D8" w:rsidP="001213D8">
            <w:pPr>
              <w:rPr>
                <w:rFonts w:ascii="Calibri" w:hAnsi="Calibri" w:cs="Calibri"/>
                <w:b/>
                <w:color w:val="008000"/>
                <w:sz w:val="18"/>
                <w:szCs w:val="18"/>
              </w:rPr>
            </w:pPr>
            <w:r w:rsidRPr="00B51320">
              <w:rPr>
                <w:rFonts w:ascii="Calibri" w:hAnsi="Calibri" w:cs="Calibri"/>
                <w:b/>
                <w:color w:val="008000"/>
                <w:sz w:val="18"/>
                <w:szCs w:val="18"/>
              </w:rPr>
              <w:t>Focus first on the scenarios where Xn and IP connectivity are available between the source and target donors for IAB-MT HO and mIAB-DU migration.</w:t>
            </w:r>
          </w:p>
          <w:p w14:paraId="14570BF1" w14:textId="13A779CC" w:rsidR="001213D8" w:rsidRPr="001213D8" w:rsidRDefault="001213D8" w:rsidP="001213D8">
            <w:pPr>
              <w:rPr>
                <w:rFonts w:ascii="Calibri" w:hAnsi="Calibri" w:cs="Calibri"/>
                <w:b/>
                <w:color w:val="008000"/>
                <w:sz w:val="18"/>
                <w:szCs w:val="18"/>
              </w:rPr>
            </w:pPr>
            <w:r w:rsidRPr="00B51320">
              <w:rPr>
                <w:rFonts w:ascii="Calibri" w:hAnsi="Calibri" w:cs="Calibri"/>
                <w:b/>
                <w:color w:val="008000"/>
                <w:sz w:val="18"/>
                <w:szCs w:val="18"/>
              </w:rPr>
              <w:t>RAN3 to discuss support of mIAB-node mobility over NGAP. Which type of migration needs to be further discussed</w:t>
            </w:r>
          </w:p>
        </w:tc>
      </w:tr>
    </w:tbl>
    <w:p w14:paraId="2F9DBEB8" w14:textId="5E8B3C75" w:rsidR="00AC737C" w:rsidRDefault="0058072D" w:rsidP="001213D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IP connection between source IAB-donor-CU and target IAB-donor-DU, mobile IAB-node can support partial migration</w:t>
      </w:r>
      <w:r w:rsidR="00E06F23">
        <w:rPr>
          <w:rFonts w:ascii="Times New Roman" w:eastAsia="宋体" w:hAnsi="Times New Roman" w:cs="Times New Roman"/>
          <w:kern w:val="0"/>
          <w:sz w:val="20"/>
          <w:szCs w:val="20"/>
        </w:rPr>
        <w:t xml:space="preserve"> (IAB-MT migration only)</w:t>
      </w:r>
      <w:r>
        <w:rPr>
          <w:rFonts w:ascii="Times New Roman" w:eastAsia="宋体" w:hAnsi="Times New Roman" w:cs="Times New Roman"/>
          <w:kern w:val="0"/>
          <w:sz w:val="20"/>
          <w:szCs w:val="20"/>
        </w:rPr>
        <w:t xml:space="preserve"> and F1 termination of mobile IAB-node can be transport via the target path. Or based on the IP connection between source IAB-donor-DU and target IAB-donor-CU, the second logical IAB-DU of mobile IAB-node may set up F1 connection to target IAB-donor-CU via the source path</w:t>
      </w:r>
      <w:r w:rsidR="00E06F23">
        <w:rPr>
          <w:rFonts w:ascii="Times New Roman" w:eastAsia="宋体" w:hAnsi="Times New Roman" w:cs="Times New Roman"/>
          <w:kern w:val="0"/>
          <w:sz w:val="20"/>
          <w:szCs w:val="20"/>
        </w:rPr>
        <w:t xml:space="preserve"> (IAB-DU migration only)</w:t>
      </w:r>
      <w:r>
        <w:rPr>
          <w:rFonts w:ascii="Times New Roman" w:eastAsia="宋体" w:hAnsi="Times New Roman" w:cs="Times New Roman"/>
          <w:kern w:val="0"/>
          <w:sz w:val="20"/>
          <w:szCs w:val="20"/>
        </w:rPr>
        <w:t>.</w:t>
      </w:r>
    </w:p>
    <w:p w14:paraId="5741D88B" w14:textId="06B3A1D6" w:rsidR="00A5147F" w:rsidRDefault="00E06F23"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owever, once there is no IP connection between source IAB-donor and target IAB-donor, mobile IAB-node will not support IAB-MT migration only and IAB-DU migration only.</w:t>
      </w:r>
      <w:r w:rsidR="00514D03">
        <w:rPr>
          <w:rFonts w:ascii="Times New Roman" w:eastAsia="宋体" w:hAnsi="Times New Roman" w:cs="Times New Roman"/>
          <w:kern w:val="0"/>
          <w:sz w:val="20"/>
          <w:szCs w:val="20"/>
        </w:rPr>
        <w:t xml:space="preserve"> And in this case, </w:t>
      </w:r>
      <w:r w:rsidR="00A16791">
        <w:rPr>
          <w:rFonts w:ascii="Times New Roman" w:eastAsia="宋体" w:hAnsi="Times New Roman" w:cs="Times New Roman"/>
          <w:kern w:val="0"/>
          <w:sz w:val="20"/>
          <w:szCs w:val="20"/>
        </w:rPr>
        <w:t>mobile IAB-node can only support full migration without intermediate stage where mobile IAB-MT and mobile IAB-DU terminate at different IAB-donors.</w:t>
      </w:r>
    </w:p>
    <w:p w14:paraId="418DED5B" w14:textId="579AFBCA" w:rsidR="005E0ABB" w:rsidRPr="005E0ABB" w:rsidRDefault="00A16791"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16791">
        <w:rPr>
          <w:rFonts w:ascii="Times New Roman" w:eastAsia="宋体" w:hAnsi="Times New Roman" w:cs="Times New Roman" w:hint="eastAsia"/>
          <w:b/>
          <w:bCs/>
          <w:kern w:val="0"/>
          <w:sz w:val="20"/>
          <w:szCs w:val="20"/>
        </w:rPr>
        <w:t>P</w:t>
      </w:r>
      <w:r w:rsidRPr="00A16791">
        <w:rPr>
          <w:rFonts w:ascii="Times New Roman" w:eastAsia="宋体" w:hAnsi="Times New Roman" w:cs="Times New Roman"/>
          <w:b/>
          <w:bCs/>
          <w:kern w:val="0"/>
          <w:sz w:val="20"/>
          <w:szCs w:val="20"/>
        </w:rPr>
        <w:t xml:space="preserve">roposal </w:t>
      </w:r>
      <w:r w:rsidR="000B20E9">
        <w:rPr>
          <w:rFonts w:ascii="Times New Roman" w:eastAsia="宋体" w:hAnsi="Times New Roman" w:cs="Times New Roman"/>
          <w:b/>
          <w:bCs/>
          <w:kern w:val="0"/>
          <w:sz w:val="20"/>
          <w:szCs w:val="20"/>
        </w:rPr>
        <w:t>6</w:t>
      </w:r>
      <w:r w:rsidRPr="00A16791">
        <w:rPr>
          <w:rFonts w:ascii="Times New Roman" w:eastAsia="宋体" w:hAnsi="Times New Roman" w:cs="Times New Roman"/>
          <w:b/>
          <w:bCs/>
          <w:kern w:val="0"/>
          <w:sz w:val="20"/>
          <w:szCs w:val="20"/>
        </w:rPr>
        <w:t>: In absence of IP connection between IAB-donors, mobile IAB-node can only support full migration without intermediate stage where mobile IAB-MT and mobile IAB-DU terminate at different IAB-donors.</w:t>
      </w:r>
    </w:p>
    <w:p w14:paraId="4A48CB80" w14:textId="2076AE7E" w:rsidR="00BD5370" w:rsidRDefault="005D2529"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R17, the procedures for partial migration, e.g., </w:t>
      </w:r>
      <w:r w:rsidRPr="005D2529">
        <w:rPr>
          <w:rFonts w:ascii="Times New Roman" w:eastAsia="宋体" w:hAnsi="Times New Roman" w:cs="Times New Roman"/>
          <w:kern w:val="0"/>
          <w:sz w:val="20"/>
          <w:szCs w:val="20"/>
        </w:rPr>
        <w:t>IAB Transport Migration Management</w:t>
      </w:r>
      <w:r>
        <w:rPr>
          <w:rFonts w:ascii="Times New Roman" w:eastAsia="宋体" w:hAnsi="Times New Roman" w:cs="Times New Roman"/>
          <w:kern w:val="0"/>
          <w:sz w:val="20"/>
          <w:szCs w:val="20"/>
        </w:rPr>
        <w:t xml:space="preserve"> and </w:t>
      </w:r>
      <w:r w:rsidRPr="005D2529">
        <w:rPr>
          <w:rFonts w:ascii="Times New Roman" w:eastAsia="宋体" w:hAnsi="Times New Roman" w:cs="Times New Roman"/>
          <w:kern w:val="0"/>
          <w:sz w:val="20"/>
          <w:szCs w:val="20"/>
        </w:rPr>
        <w:t>IAB Transport Migration Modification</w:t>
      </w:r>
      <w:r>
        <w:rPr>
          <w:rFonts w:ascii="Times New Roman" w:eastAsia="宋体" w:hAnsi="Times New Roman" w:cs="Times New Roman"/>
          <w:kern w:val="0"/>
          <w:sz w:val="20"/>
          <w:szCs w:val="20"/>
        </w:rPr>
        <w:t xml:space="preserve">, are only defined in XnAP. For the stationary IAB-node in R17, partial migration procedures in XnAP may be sufficient because stationary IAB-donor doesn’t support consecutive partial migrations and neighbor IAB-donors always have Xn connection. However, mobile IAB-node needs to </w:t>
      </w:r>
      <w:r w:rsidR="007E4DDD">
        <w:rPr>
          <w:rFonts w:ascii="Times New Roman" w:eastAsia="宋体" w:hAnsi="Times New Roman" w:cs="Times New Roman"/>
          <w:kern w:val="0"/>
          <w:sz w:val="20"/>
          <w:szCs w:val="20"/>
        </w:rPr>
        <w:t>support</w:t>
      </w:r>
      <w:r>
        <w:rPr>
          <w:rFonts w:ascii="Times New Roman" w:eastAsia="宋体" w:hAnsi="Times New Roman" w:cs="Times New Roman"/>
          <w:kern w:val="0"/>
          <w:sz w:val="20"/>
          <w:szCs w:val="20"/>
        </w:rPr>
        <w:t xml:space="preserve"> partial migration or full migration</w:t>
      </w:r>
      <w:r w:rsidR="007E4DDD">
        <w:rPr>
          <w:rFonts w:ascii="Times New Roman" w:eastAsia="宋体" w:hAnsi="Times New Roman" w:cs="Times New Roman"/>
          <w:kern w:val="0"/>
          <w:sz w:val="20"/>
          <w:szCs w:val="20"/>
        </w:rPr>
        <w:t xml:space="preserve"> from source IAB-donor</w:t>
      </w:r>
      <w:r>
        <w:rPr>
          <w:rFonts w:ascii="Times New Roman" w:eastAsia="宋体" w:hAnsi="Times New Roman" w:cs="Times New Roman"/>
          <w:kern w:val="0"/>
          <w:sz w:val="20"/>
          <w:szCs w:val="20"/>
        </w:rPr>
        <w:t xml:space="preserve"> to a faraway</w:t>
      </w:r>
      <w:r w:rsidR="007E4DDD">
        <w:rPr>
          <w:rFonts w:ascii="Times New Roman" w:eastAsia="宋体" w:hAnsi="Times New Roman" w:cs="Times New Roman"/>
          <w:kern w:val="0"/>
          <w:sz w:val="20"/>
          <w:szCs w:val="20"/>
        </w:rPr>
        <w:t xml:space="preserve"> target</w:t>
      </w:r>
      <w:r>
        <w:rPr>
          <w:rFonts w:ascii="Times New Roman" w:eastAsia="宋体" w:hAnsi="Times New Roman" w:cs="Times New Roman"/>
          <w:kern w:val="0"/>
          <w:sz w:val="20"/>
          <w:szCs w:val="20"/>
        </w:rPr>
        <w:t xml:space="preserve"> IAB-donor after previous </w:t>
      </w:r>
      <w:r w:rsidR="007E4DDD">
        <w:rPr>
          <w:rFonts w:ascii="Times New Roman" w:eastAsia="宋体" w:hAnsi="Times New Roman" w:cs="Times New Roman"/>
          <w:kern w:val="0"/>
          <w:sz w:val="20"/>
          <w:szCs w:val="20"/>
        </w:rPr>
        <w:t xml:space="preserve">multiple partial migrations. In this case, there is no Xn connection between source IAB-donor and target IAB-donor due to mobility of mobile IAB-node, the procedures defined for partial migration </w:t>
      </w:r>
      <w:r w:rsidR="006D5544">
        <w:rPr>
          <w:rFonts w:ascii="Times New Roman" w:eastAsia="宋体" w:hAnsi="Times New Roman" w:cs="Times New Roman"/>
          <w:kern w:val="0"/>
          <w:sz w:val="20"/>
          <w:szCs w:val="20"/>
        </w:rPr>
        <w:t>shall be extended to NGAP, and</w:t>
      </w:r>
      <w:r w:rsidR="006D5544" w:rsidRPr="006D5544">
        <w:rPr>
          <w:rFonts w:ascii="Times New Roman" w:eastAsia="宋体" w:hAnsi="Times New Roman" w:cs="Times New Roman"/>
          <w:kern w:val="0"/>
          <w:sz w:val="20"/>
          <w:szCs w:val="20"/>
        </w:rPr>
        <w:t xml:space="preserve"> </w:t>
      </w:r>
      <w:r w:rsidR="006D5544">
        <w:rPr>
          <w:rFonts w:ascii="Times New Roman" w:eastAsia="宋体" w:hAnsi="Times New Roman" w:cs="Times New Roman"/>
          <w:kern w:val="0"/>
          <w:sz w:val="20"/>
          <w:szCs w:val="20"/>
        </w:rPr>
        <w:t>the procedures expected for full migration or IAB-DU migration shall be defined in both XnAP and NGAP.</w:t>
      </w:r>
    </w:p>
    <w:p w14:paraId="1CEE50B4" w14:textId="5982D070" w:rsidR="001600FE" w:rsidRDefault="001600FE" w:rsidP="001600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sidR="000B20E9">
        <w:rPr>
          <w:rFonts w:ascii="Times New Roman" w:eastAsia="宋体" w:hAnsi="Times New Roman" w:cs="Times New Roman"/>
          <w:b/>
          <w:bCs/>
          <w:kern w:val="0"/>
          <w:sz w:val="20"/>
          <w:szCs w:val="20"/>
        </w:rPr>
        <w:t>7</w:t>
      </w:r>
      <w:r w:rsidRPr="004312F2">
        <w:rPr>
          <w:rFonts w:ascii="Times New Roman" w:eastAsia="宋体" w:hAnsi="Times New Roman" w:cs="Times New Roman"/>
          <w:b/>
          <w:bCs/>
          <w:kern w:val="0"/>
          <w:sz w:val="20"/>
          <w:szCs w:val="20"/>
        </w:rPr>
        <w:t xml:space="preserve">: </w:t>
      </w:r>
      <w:r w:rsidR="006D5544">
        <w:rPr>
          <w:rFonts w:ascii="Times New Roman" w:eastAsia="宋体" w:hAnsi="Times New Roman" w:cs="Times New Roman"/>
          <w:b/>
          <w:bCs/>
          <w:kern w:val="0"/>
          <w:sz w:val="20"/>
          <w:szCs w:val="20"/>
        </w:rPr>
        <w:t>I</w:t>
      </w:r>
      <w:r w:rsidRPr="004312F2">
        <w:rPr>
          <w:rFonts w:ascii="Times New Roman" w:eastAsia="宋体" w:hAnsi="Times New Roman" w:cs="Times New Roman"/>
          <w:b/>
          <w:bCs/>
          <w:kern w:val="0"/>
          <w:sz w:val="20"/>
          <w:szCs w:val="20"/>
        </w:rPr>
        <w:t>n absence of Xn connection between</w:t>
      </w:r>
      <w:r w:rsidR="006D5544">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sidR="006D5544">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 the Xn</w:t>
      </w:r>
      <w:r w:rsidR="006D5544">
        <w:rPr>
          <w:rFonts w:ascii="Times New Roman" w:eastAsia="宋体" w:hAnsi="Times New Roman" w:cs="Times New Roman"/>
          <w:b/>
          <w:bCs/>
          <w:kern w:val="0"/>
          <w:sz w:val="20"/>
          <w:szCs w:val="20"/>
        </w:rPr>
        <w:t xml:space="preserve">AP procedure </w:t>
      </w:r>
      <w:r w:rsidRPr="004312F2">
        <w:rPr>
          <w:rFonts w:ascii="Times New Roman" w:eastAsia="宋体" w:hAnsi="Times New Roman" w:cs="Times New Roman"/>
          <w:b/>
          <w:bCs/>
          <w:kern w:val="0"/>
          <w:sz w:val="20"/>
          <w:szCs w:val="20"/>
        </w:rPr>
        <w:t>for partial migration shall be extended to NG interface.</w:t>
      </w:r>
    </w:p>
    <w:p w14:paraId="184E6E81" w14:textId="6863DDA0" w:rsidR="006D5544" w:rsidRPr="004312F2" w:rsidRDefault="006D5544" w:rsidP="001600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0B20E9">
        <w:rPr>
          <w:rFonts w:ascii="Times New Roman" w:eastAsia="宋体" w:hAnsi="Times New Roman" w:cs="Times New Roman"/>
          <w:b/>
          <w:bCs/>
          <w:kern w:val="0"/>
          <w:sz w:val="20"/>
          <w:szCs w:val="20"/>
        </w:rPr>
        <w:t>8</w:t>
      </w:r>
      <w:r>
        <w:rPr>
          <w:rFonts w:ascii="Times New Roman" w:eastAsia="宋体" w:hAnsi="Times New Roman" w:cs="Times New Roman"/>
          <w:b/>
          <w:bCs/>
          <w:kern w:val="0"/>
          <w:sz w:val="20"/>
          <w:szCs w:val="20"/>
        </w:rPr>
        <w:t>: 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6D5544">
        <w:rPr>
          <w:rFonts w:ascii="Times New Roman" w:eastAsia="宋体" w:hAnsi="Times New Roman" w:cs="Times New Roman"/>
          <w:b/>
          <w:bCs/>
          <w:kern w:val="0"/>
          <w:sz w:val="20"/>
          <w:szCs w:val="20"/>
        </w:rPr>
        <w:t>the procedures expected for full migration or IAB-DU migration shall be defined in both XnAP and NGAP</w:t>
      </w:r>
      <w:r>
        <w:rPr>
          <w:rFonts w:ascii="Times New Roman" w:eastAsia="宋体" w:hAnsi="Times New Roman" w:cs="Times New Roman"/>
          <w:b/>
          <w:bCs/>
          <w:kern w:val="0"/>
          <w:sz w:val="20"/>
          <w:szCs w:val="20"/>
        </w:rPr>
        <w:t>.</w:t>
      </w:r>
    </w:p>
    <w:p w14:paraId="267A3D15" w14:textId="7BB08081" w:rsidR="00FB1CA8" w:rsidRPr="001600FE" w:rsidRDefault="00436CF5"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F1-C over X2 interface was supported for the ENDC scenario. And in R17, F1-C over Xn interface was also support for CP-UP split of NRDC. </w:t>
      </w:r>
      <w:r w:rsidR="006C1937">
        <w:rPr>
          <w:rFonts w:ascii="Times New Roman" w:eastAsia="宋体" w:hAnsi="Times New Roman" w:cs="Times New Roman"/>
          <w:kern w:val="0"/>
          <w:sz w:val="20"/>
          <w:szCs w:val="20"/>
        </w:rPr>
        <w:t>In absence of Xn connection between IAB-donors, there is no such dual-connectivity scenario for the mobile IAB-node, and it’s no need to support F1-C transport over NGAP.</w:t>
      </w:r>
    </w:p>
    <w:p w14:paraId="0CD3303D" w14:textId="37FA3255" w:rsidR="001600FE" w:rsidRPr="00FB1CA8" w:rsidRDefault="00FB1CA8"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sidR="000B20E9">
        <w:rPr>
          <w:rFonts w:ascii="Times New Roman" w:eastAsia="宋体" w:hAnsi="Times New Roman" w:cs="Times New Roman"/>
          <w:b/>
          <w:bCs/>
          <w:kern w:val="0"/>
          <w:sz w:val="20"/>
          <w:szCs w:val="20"/>
        </w:rPr>
        <w:t>9</w:t>
      </w:r>
      <w:r w:rsidRPr="004312F2">
        <w:rPr>
          <w:rFonts w:ascii="Times New Roman" w:eastAsia="宋体" w:hAnsi="Times New Roman" w:cs="Times New Roman"/>
          <w:b/>
          <w:bCs/>
          <w:kern w:val="0"/>
          <w:sz w:val="20"/>
          <w:szCs w:val="20"/>
        </w:rPr>
        <w:t>: Don't support F1-C transport over NGAP.</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118E4533"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4312F2">
        <w:rPr>
          <w:rFonts w:ascii="Times New Roman" w:eastAsia="宋体" w:hAnsi="Times New Roman" w:cs="Times New Roman"/>
          <w:kern w:val="0"/>
          <w:sz w:val="20"/>
          <w:szCs w:val="20"/>
        </w:rPr>
        <w:t xml:space="preserve">the general principles of </w:t>
      </w:r>
      <w:r w:rsidR="004312F2" w:rsidRPr="002845AD">
        <w:rPr>
          <w:rFonts w:ascii="Times New Roman" w:eastAsia="宋体" w:hAnsi="Times New Roman" w:cs="Times New Roman"/>
          <w:kern w:val="0"/>
          <w:sz w:val="20"/>
          <w:szCs w:val="20"/>
        </w:rPr>
        <w:t>mobile IAB-node inter-donor topology adaptation</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2D5D68D4" w14:textId="77777777" w:rsidR="00B370F3" w:rsidRDefault="00B370F3" w:rsidP="00B370F3">
      <w:pPr>
        <w:pStyle w:val="af2"/>
        <w:spacing w:before="0" w:beforeAutospacing="0" w:after="120" w:afterAutospacing="0"/>
        <w:jc w:val="both"/>
        <w:rPr>
          <w:rFonts w:ascii="Times New Roman" w:hAnsi="Times New Roman" w:cs="Times New Roman"/>
          <w:b/>
          <w:bCs/>
          <w:sz w:val="20"/>
          <w:szCs w:val="20"/>
        </w:rPr>
      </w:pPr>
      <w:r>
        <w:rPr>
          <w:rFonts w:ascii="Times New Roman" w:hAnsi="Times New Roman" w:cs="Times New Roman"/>
          <w:b/>
          <w:bCs/>
          <w:sz w:val="20"/>
          <w:szCs w:val="20"/>
        </w:rPr>
        <w:t xml:space="preserve">Proposal 1: In case of mobile IAB-node full migration, source IAB-donor-CU shall trigger inter-donor IAB-DU migration accompanied with inter-donor handover of its co-located IAB-MT. </w:t>
      </w:r>
    </w:p>
    <w:p w14:paraId="2FF5D74E" w14:textId="738B61FB" w:rsidR="00680213" w:rsidRDefault="00680213" w:rsidP="00680213">
      <w:pPr>
        <w:pStyle w:val="af2"/>
        <w:spacing w:before="0" w:beforeAutospacing="0" w:after="120" w:afterAutospacing="0"/>
        <w:rPr>
          <w:rFonts w:ascii="Times New Roman" w:hAnsi="Times New Roman" w:cs="Times New Roman"/>
          <w:sz w:val="20"/>
          <w:szCs w:val="20"/>
        </w:rPr>
      </w:pPr>
      <w:r>
        <w:rPr>
          <w:rFonts w:ascii="Times New Roman" w:hAnsi="Times New Roman" w:cs="Times New Roman"/>
          <w:b/>
          <w:bCs/>
          <w:sz w:val="20"/>
          <w:szCs w:val="20"/>
        </w:rPr>
        <w:t xml:space="preserve">Proposal 2: In case of mobile IAB-node full migration, inter-donor IAB-DU migration can be executed before or after inter-donor IAB-MT handover. </w:t>
      </w:r>
      <w:r w:rsidR="00B370F3">
        <w:rPr>
          <w:rFonts w:ascii="Times New Roman" w:hAnsi="Times New Roman" w:cs="Times New Roman"/>
          <w:b/>
          <w:bCs/>
          <w:sz w:val="20"/>
          <w:szCs w:val="20"/>
        </w:rPr>
        <w:t xml:space="preserve"> </w:t>
      </w:r>
    </w:p>
    <w:p w14:paraId="05519A04" w14:textId="77777777" w:rsidR="00680213" w:rsidRDefault="00680213" w:rsidP="00680213">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Proposal 3: In case of mobile IAB-node consecutive partial migration, F1-terminating IAB-donor-CU may trigger mobile IAB-DU inter-donor migration based on the indication of mobile IAB-MT handover.</w:t>
      </w:r>
    </w:p>
    <w:p w14:paraId="268E4B4B" w14:textId="77777777" w:rsidR="00680213" w:rsidRDefault="00680213" w:rsidP="00680213">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lastRenderedPageBreak/>
        <w:t xml:space="preserve">Proposal 4: Source IAB-donor-CU for IAB-DU migration is informed by mobile IAB-node about the </w:t>
      </w:r>
      <w:r w:rsidRPr="00955912">
        <w:rPr>
          <w:rFonts w:ascii="Times New Roman" w:hAnsi="Times New Roman" w:cs="Times New Roman"/>
          <w:b/>
          <w:bCs/>
          <w:sz w:val="20"/>
          <w:szCs w:val="20"/>
        </w:rPr>
        <w:t>cell IDs served by second (target) logical IAB-DU</w:t>
      </w:r>
      <w:r>
        <w:rPr>
          <w:rFonts w:ascii="Times New Roman" w:hAnsi="Times New Roman" w:cs="Times New Roman"/>
          <w:b/>
          <w:bCs/>
          <w:sz w:val="20"/>
          <w:szCs w:val="20"/>
        </w:rPr>
        <w:t>.</w:t>
      </w:r>
    </w:p>
    <w:p w14:paraId="3BEB4CCB" w14:textId="77777777" w:rsidR="00680213" w:rsidRDefault="00680213" w:rsidP="00680213">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5: Source IAB-donor-CU for IAB-DU migration is informed by target IAB-donor-CU about the F1 setup completion between </w:t>
      </w:r>
      <w:r w:rsidRPr="00DD2E24">
        <w:rPr>
          <w:rFonts w:ascii="Times New Roman" w:hAnsi="Times New Roman" w:cs="Times New Roman"/>
          <w:b/>
          <w:bCs/>
          <w:sz w:val="20"/>
          <w:szCs w:val="20"/>
        </w:rPr>
        <w:t>target logical IAB-DU and</w:t>
      </w:r>
      <w:r>
        <w:rPr>
          <w:rFonts w:ascii="Times New Roman" w:hAnsi="Times New Roman" w:cs="Times New Roman"/>
          <w:b/>
          <w:bCs/>
          <w:sz w:val="20"/>
          <w:szCs w:val="20"/>
        </w:rPr>
        <w:t xml:space="preserve"> </w:t>
      </w:r>
      <w:r w:rsidRPr="00DD2E24">
        <w:rPr>
          <w:rFonts w:ascii="Times New Roman" w:hAnsi="Times New Roman" w:cs="Times New Roman"/>
          <w:b/>
          <w:bCs/>
          <w:sz w:val="20"/>
          <w:szCs w:val="20"/>
        </w:rPr>
        <w:t>target IAB-donor-CU</w:t>
      </w:r>
      <w:r>
        <w:rPr>
          <w:rFonts w:ascii="Times New Roman" w:hAnsi="Times New Roman" w:cs="Times New Roman"/>
          <w:b/>
          <w:bCs/>
          <w:sz w:val="20"/>
          <w:szCs w:val="20"/>
        </w:rPr>
        <w:t xml:space="preserve">. </w:t>
      </w:r>
    </w:p>
    <w:p w14:paraId="4CEDEBB3" w14:textId="77777777" w:rsidR="00680213" w:rsidRPr="005E0ABB"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16791">
        <w:rPr>
          <w:rFonts w:ascii="Times New Roman" w:eastAsia="宋体" w:hAnsi="Times New Roman" w:cs="Times New Roman" w:hint="eastAsia"/>
          <w:b/>
          <w:bCs/>
          <w:kern w:val="0"/>
          <w:sz w:val="20"/>
          <w:szCs w:val="20"/>
        </w:rPr>
        <w:t>P</w:t>
      </w:r>
      <w:r w:rsidRPr="00A16791">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A16791">
        <w:rPr>
          <w:rFonts w:ascii="Times New Roman" w:eastAsia="宋体" w:hAnsi="Times New Roman" w:cs="Times New Roman"/>
          <w:b/>
          <w:bCs/>
          <w:kern w:val="0"/>
          <w:sz w:val="20"/>
          <w:szCs w:val="20"/>
        </w:rPr>
        <w:t>: In absence of IP connection between IAB-donors, mobile IAB-node can only support full migration without intermediate stage where mobile IAB-MT and mobile IAB-DU terminate at different IAB-donors.</w:t>
      </w:r>
    </w:p>
    <w:p w14:paraId="5E7817B4" w14:textId="77777777" w:rsidR="00680213"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4312F2">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 the Xn</w:t>
      </w:r>
      <w:r>
        <w:rPr>
          <w:rFonts w:ascii="Times New Roman" w:eastAsia="宋体" w:hAnsi="Times New Roman" w:cs="Times New Roman"/>
          <w:b/>
          <w:bCs/>
          <w:kern w:val="0"/>
          <w:sz w:val="20"/>
          <w:szCs w:val="20"/>
        </w:rPr>
        <w:t xml:space="preserve">AP procedure </w:t>
      </w:r>
      <w:r w:rsidRPr="004312F2">
        <w:rPr>
          <w:rFonts w:ascii="Times New Roman" w:eastAsia="宋体" w:hAnsi="Times New Roman" w:cs="Times New Roman"/>
          <w:b/>
          <w:bCs/>
          <w:kern w:val="0"/>
          <w:sz w:val="20"/>
          <w:szCs w:val="20"/>
        </w:rPr>
        <w:t>for partial migration shall be extended to NG interface.</w:t>
      </w:r>
    </w:p>
    <w:p w14:paraId="403240E3" w14:textId="77777777" w:rsidR="00680213" w:rsidRPr="004312F2"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8: I</w:t>
      </w:r>
      <w:r w:rsidRPr="004312F2">
        <w:rPr>
          <w:rFonts w:ascii="Times New Roman" w:eastAsia="宋体" w:hAnsi="Times New Roman" w:cs="Times New Roman"/>
          <w:b/>
          <w:bCs/>
          <w:kern w:val="0"/>
          <w:sz w:val="20"/>
          <w:szCs w:val="20"/>
        </w:rPr>
        <w:t>n absence of Xn connection between</w:t>
      </w:r>
      <w:r>
        <w:rPr>
          <w:rFonts w:ascii="Times New Roman" w:eastAsia="宋体" w:hAnsi="Times New Roman" w:cs="Times New Roman"/>
          <w:b/>
          <w:bCs/>
          <w:kern w:val="0"/>
          <w:sz w:val="20"/>
          <w:szCs w:val="20"/>
        </w:rPr>
        <w:t xml:space="preserve"> IAB-</w:t>
      </w:r>
      <w:r w:rsidRPr="004312F2">
        <w:rPr>
          <w:rFonts w:ascii="Times New Roman" w:eastAsia="宋体" w:hAnsi="Times New Roman" w:cs="Times New Roman"/>
          <w:b/>
          <w:bCs/>
          <w:kern w:val="0"/>
          <w:sz w:val="20"/>
          <w:szCs w:val="20"/>
        </w:rPr>
        <w:t>donor</w:t>
      </w:r>
      <w:r>
        <w:rPr>
          <w:rFonts w:ascii="Times New Roman" w:eastAsia="宋体" w:hAnsi="Times New Roman" w:cs="Times New Roman"/>
          <w:b/>
          <w:bCs/>
          <w:kern w:val="0"/>
          <w:sz w:val="20"/>
          <w:szCs w:val="20"/>
        </w:rPr>
        <w:t>s</w:t>
      </w:r>
      <w:r w:rsidRPr="004312F2">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6D5544">
        <w:rPr>
          <w:rFonts w:ascii="Times New Roman" w:eastAsia="宋体" w:hAnsi="Times New Roman" w:cs="Times New Roman"/>
          <w:b/>
          <w:bCs/>
          <w:kern w:val="0"/>
          <w:sz w:val="20"/>
          <w:szCs w:val="20"/>
        </w:rPr>
        <w:t>the procedures expected for full migration or IAB-DU migration shall be defined in both XnAP and NGAP</w:t>
      </w:r>
      <w:r>
        <w:rPr>
          <w:rFonts w:ascii="Times New Roman" w:eastAsia="宋体" w:hAnsi="Times New Roman" w:cs="Times New Roman"/>
          <w:b/>
          <w:bCs/>
          <w:kern w:val="0"/>
          <w:sz w:val="20"/>
          <w:szCs w:val="20"/>
        </w:rPr>
        <w:t>.</w:t>
      </w:r>
    </w:p>
    <w:p w14:paraId="62F01EE7" w14:textId="2E087612" w:rsidR="00680213" w:rsidRPr="00FB1CA8" w:rsidRDefault="00680213" w:rsidP="006802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312F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9</w:t>
      </w:r>
      <w:r w:rsidRPr="004312F2">
        <w:rPr>
          <w:rFonts w:ascii="Times New Roman" w:eastAsia="宋体" w:hAnsi="Times New Roman" w:cs="Times New Roman"/>
          <w:b/>
          <w:bCs/>
          <w:kern w:val="0"/>
          <w:sz w:val="20"/>
          <w:szCs w:val="20"/>
        </w:rPr>
        <w:t>: Don't support F1-C transport over NGAP.</w:t>
      </w:r>
      <w:r w:rsidRPr="004312F2">
        <w:rPr>
          <w:rFonts w:ascii="Times New Roman" w:eastAsia="宋体" w:hAnsi="Times New Roman" w:cs="Times New Roman" w:hint="eastAsia"/>
          <w:b/>
          <w:bCs/>
          <w:kern w:val="0"/>
          <w:sz w:val="20"/>
          <w:szCs w:val="20"/>
        </w:rPr>
        <w:t xml:space="preserve"> </w:t>
      </w:r>
    </w:p>
    <w:p w14:paraId="1C734CA1" w14:textId="41BC687E"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p w14:paraId="4ED5C391" w14:textId="77777777" w:rsidR="00290114" w:rsidRDefault="00290114" w:rsidP="0029011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bookmarkStart w:id="4" w:name="_Hlk115082720"/>
      <w:bookmarkEnd w:id="0"/>
      <w:bookmarkEnd w:id="1"/>
      <w:r>
        <w:rPr>
          <w:rFonts w:ascii="Times New Roman" w:eastAsia="宋体" w:hAnsi="Times New Roman" w:cs="Times New Roman"/>
          <w:kern w:val="0"/>
          <w:sz w:val="20"/>
          <w:lang w:val="x-none"/>
        </w:rPr>
        <w:t xml:space="preserve">RP-222671. Revised WID for NR_mobile_IAB. </w:t>
      </w:r>
    </w:p>
    <w:bookmarkEnd w:id="4"/>
    <w:p w14:paraId="7D7AC881" w14:textId="0DC4E9E9" w:rsidR="001D64DD" w:rsidRDefault="00E023CB" w:rsidP="00944C8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RAN3 117-e meeting.</w:t>
      </w:r>
    </w:p>
    <w:p w14:paraId="0B72CA15" w14:textId="4C297354" w:rsidR="00CD2D10" w:rsidRPr="007215DC" w:rsidRDefault="007215DC" w:rsidP="007215D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RAN3 117bis-e meeting.</w:t>
      </w:r>
    </w:p>
    <w:sectPr w:rsidR="00CD2D10" w:rsidRPr="007215DC"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AE3AE" w14:textId="77777777" w:rsidR="001064CF" w:rsidRDefault="001064CF" w:rsidP="00AA3FAE">
      <w:r>
        <w:separator/>
      </w:r>
    </w:p>
  </w:endnote>
  <w:endnote w:type="continuationSeparator" w:id="0">
    <w:p w14:paraId="6652C45D" w14:textId="77777777" w:rsidR="001064CF" w:rsidRDefault="001064CF"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otum">
    <w:altName w:val="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6DF7" w14:textId="77777777" w:rsidR="001064CF" w:rsidRDefault="001064CF" w:rsidP="00AA3FAE">
      <w:r>
        <w:separator/>
      </w:r>
    </w:p>
  </w:footnote>
  <w:footnote w:type="continuationSeparator" w:id="0">
    <w:p w14:paraId="684FB4EC" w14:textId="77777777" w:rsidR="001064CF" w:rsidRDefault="001064CF"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31"/>
    <w:multiLevelType w:val="hybridMultilevel"/>
    <w:tmpl w:val="1016597A"/>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8725539"/>
    <w:multiLevelType w:val="hybridMultilevel"/>
    <w:tmpl w:val="6C964E02"/>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8"/>
  </w:num>
  <w:num w:numId="4">
    <w:abstractNumId w:val="11"/>
  </w:num>
  <w:num w:numId="5">
    <w:abstractNumId w:val="1"/>
  </w:num>
  <w:num w:numId="6">
    <w:abstractNumId w:val="2"/>
  </w:num>
  <w:num w:numId="7">
    <w:abstractNumId w:val="12"/>
  </w:num>
  <w:num w:numId="8">
    <w:abstractNumId w:val="5"/>
  </w:num>
  <w:num w:numId="9">
    <w:abstractNumId w:val="9"/>
  </w:num>
  <w:num w:numId="10">
    <w:abstractNumId w:val="3"/>
  </w:num>
  <w:num w:numId="11">
    <w:abstractNumId w:val="0"/>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E39"/>
    <w:rsid w:val="00002113"/>
    <w:rsid w:val="000024F1"/>
    <w:rsid w:val="00006F15"/>
    <w:rsid w:val="0000703A"/>
    <w:rsid w:val="00011F5D"/>
    <w:rsid w:val="00017A52"/>
    <w:rsid w:val="00017A92"/>
    <w:rsid w:val="00022004"/>
    <w:rsid w:val="00022A6F"/>
    <w:rsid w:val="000306D0"/>
    <w:rsid w:val="00032116"/>
    <w:rsid w:val="000333B0"/>
    <w:rsid w:val="00035328"/>
    <w:rsid w:val="00035983"/>
    <w:rsid w:val="00047E11"/>
    <w:rsid w:val="000505CB"/>
    <w:rsid w:val="0005575F"/>
    <w:rsid w:val="000566E1"/>
    <w:rsid w:val="00057331"/>
    <w:rsid w:val="00060A16"/>
    <w:rsid w:val="000613CF"/>
    <w:rsid w:val="0006171A"/>
    <w:rsid w:val="000649F5"/>
    <w:rsid w:val="0006683B"/>
    <w:rsid w:val="00070D39"/>
    <w:rsid w:val="00072D31"/>
    <w:rsid w:val="00076213"/>
    <w:rsid w:val="0008016F"/>
    <w:rsid w:val="00086B95"/>
    <w:rsid w:val="000874BB"/>
    <w:rsid w:val="0009505F"/>
    <w:rsid w:val="00095520"/>
    <w:rsid w:val="0009781A"/>
    <w:rsid w:val="000A18DF"/>
    <w:rsid w:val="000A3D7E"/>
    <w:rsid w:val="000A56DD"/>
    <w:rsid w:val="000B0433"/>
    <w:rsid w:val="000B1D18"/>
    <w:rsid w:val="000B20E9"/>
    <w:rsid w:val="000B7C20"/>
    <w:rsid w:val="000C0937"/>
    <w:rsid w:val="000C15D9"/>
    <w:rsid w:val="000C1990"/>
    <w:rsid w:val="000C3F89"/>
    <w:rsid w:val="000C73E6"/>
    <w:rsid w:val="000C7510"/>
    <w:rsid w:val="000D0A67"/>
    <w:rsid w:val="000D1770"/>
    <w:rsid w:val="000D3ADF"/>
    <w:rsid w:val="000D4846"/>
    <w:rsid w:val="000D52B3"/>
    <w:rsid w:val="000D5F51"/>
    <w:rsid w:val="000E24D5"/>
    <w:rsid w:val="000E61B1"/>
    <w:rsid w:val="000E651D"/>
    <w:rsid w:val="000E706D"/>
    <w:rsid w:val="000F0260"/>
    <w:rsid w:val="000F0310"/>
    <w:rsid w:val="000F1553"/>
    <w:rsid w:val="000F250D"/>
    <w:rsid w:val="000F6A9D"/>
    <w:rsid w:val="000F7D37"/>
    <w:rsid w:val="00100689"/>
    <w:rsid w:val="00101812"/>
    <w:rsid w:val="001064CF"/>
    <w:rsid w:val="00111B28"/>
    <w:rsid w:val="00113831"/>
    <w:rsid w:val="001139CF"/>
    <w:rsid w:val="001140E8"/>
    <w:rsid w:val="0011469E"/>
    <w:rsid w:val="00114E43"/>
    <w:rsid w:val="0011533B"/>
    <w:rsid w:val="001156C0"/>
    <w:rsid w:val="00116D52"/>
    <w:rsid w:val="001213D8"/>
    <w:rsid w:val="00121955"/>
    <w:rsid w:val="00123848"/>
    <w:rsid w:val="00130515"/>
    <w:rsid w:val="00134A9A"/>
    <w:rsid w:val="00134C0A"/>
    <w:rsid w:val="001353CD"/>
    <w:rsid w:val="001420AF"/>
    <w:rsid w:val="00154A98"/>
    <w:rsid w:val="0015523D"/>
    <w:rsid w:val="001556FC"/>
    <w:rsid w:val="00157E1B"/>
    <w:rsid w:val="001600FE"/>
    <w:rsid w:val="00161A1A"/>
    <w:rsid w:val="001623DF"/>
    <w:rsid w:val="0017256C"/>
    <w:rsid w:val="00172D96"/>
    <w:rsid w:val="0017370C"/>
    <w:rsid w:val="00174C51"/>
    <w:rsid w:val="001847E8"/>
    <w:rsid w:val="00190FAF"/>
    <w:rsid w:val="0019499C"/>
    <w:rsid w:val="001A0305"/>
    <w:rsid w:val="001A0986"/>
    <w:rsid w:val="001A2238"/>
    <w:rsid w:val="001A2383"/>
    <w:rsid w:val="001A38C6"/>
    <w:rsid w:val="001A44C7"/>
    <w:rsid w:val="001A7180"/>
    <w:rsid w:val="001B0D34"/>
    <w:rsid w:val="001B15FE"/>
    <w:rsid w:val="001B31AB"/>
    <w:rsid w:val="001C0F1D"/>
    <w:rsid w:val="001C3355"/>
    <w:rsid w:val="001C7A0F"/>
    <w:rsid w:val="001D64DD"/>
    <w:rsid w:val="001F0325"/>
    <w:rsid w:val="001F10C6"/>
    <w:rsid w:val="001F2D6F"/>
    <w:rsid w:val="001F34D3"/>
    <w:rsid w:val="001F5824"/>
    <w:rsid w:val="002070BF"/>
    <w:rsid w:val="00213791"/>
    <w:rsid w:val="00217224"/>
    <w:rsid w:val="0022248C"/>
    <w:rsid w:val="00222F62"/>
    <w:rsid w:val="00227B13"/>
    <w:rsid w:val="00230B9F"/>
    <w:rsid w:val="00230EFC"/>
    <w:rsid w:val="00230FBE"/>
    <w:rsid w:val="00232519"/>
    <w:rsid w:val="00232579"/>
    <w:rsid w:val="00232B2A"/>
    <w:rsid w:val="00233CA2"/>
    <w:rsid w:val="0024433A"/>
    <w:rsid w:val="00244E37"/>
    <w:rsid w:val="00245E3F"/>
    <w:rsid w:val="002500C6"/>
    <w:rsid w:val="00251ABE"/>
    <w:rsid w:val="00256265"/>
    <w:rsid w:val="00261529"/>
    <w:rsid w:val="002639A4"/>
    <w:rsid w:val="00267897"/>
    <w:rsid w:val="00277010"/>
    <w:rsid w:val="00281EF8"/>
    <w:rsid w:val="00283083"/>
    <w:rsid w:val="00283294"/>
    <w:rsid w:val="002837EF"/>
    <w:rsid w:val="0028412F"/>
    <w:rsid w:val="002845AD"/>
    <w:rsid w:val="00286C7E"/>
    <w:rsid w:val="00290114"/>
    <w:rsid w:val="00292940"/>
    <w:rsid w:val="002949AE"/>
    <w:rsid w:val="002A3675"/>
    <w:rsid w:val="002A5557"/>
    <w:rsid w:val="002A7108"/>
    <w:rsid w:val="002B23C1"/>
    <w:rsid w:val="002B3BF8"/>
    <w:rsid w:val="002B61AB"/>
    <w:rsid w:val="002B7FB5"/>
    <w:rsid w:val="002C1BFE"/>
    <w:rsid w:val="002C2DFA"/>
    <w:rsid w:val="002C6DA5"/>
    <w:rsid w:val="002D370E"/>
    <w:rsid w:val="002D476B"/>
    <w:rsid w:val="002D6F0D"/>
    <w:rsid w:val="002E166E"/>
    <w:rsid w:val="002E2809"/>
    <w:rsid w:val="002E416B"/>
    <w:rsid w:val="002E57D5"/>
    <w:rsid w:val="002F231B"/>
    <w:rsid w:val="002F4481"/>
    <w:rsid w:val="002F5E78"/>
    <w:rsid w:val="002F7A58"/>
    <w:rsid w:val="002F7DD1"/>
    <w:rsid w:val="0030034E"/>
    <w:rsid w:val="00301940"/>
    <w:rsid w:val="00304AB3"/>
    <w:rsid w:val="003122DB"/>
    <w:rsid w:val="00314155"/>
    <w:rsid w:val="003169C7"/>
    <w:rsid w:val="0031760A"/>
    <w:rsid w:val="003179AD"/>
    <w:rsid w:val="0032255E"/>
    <w:rsid w:val="00323869"/>
    <w:rsid w:val="00324B30"/>
    <w:rsid w:val="0033243A"/>
    <w:rsid w:val="00340F49"/>
    <w:rsid w:val="00341F62"/>
    <w:rsid w:val="00343D32"/>
    <w:rsid w:val="0035034A"/>
    <w:rsid w:val="0035066C"/>
    <w:rsid w:val="003521C3"/>
    <w:rsid w:val="003563BC"/>
    <w:rsid w:val="00362F2C"/>
    <w:rsid w:val="00364270"/>
    <w:rsid w:val="00364AC3"/>
    <w:rsid w:val="00373427"/>
    <w:rsid w:val="0037433B"/>
    <w:rsid w:val="00375BBE"/>
    <w:rsid w:val="00380BE9"/>
    <w:rsid w:val="003820DA"/>
    <w:rsid w:val="00383388"/>
    <w:rsid w:val="00384956"/>
    <w:rsid w:val="00385E03"/>
    <w:rsid w:val="003901C4"/>
    <w:rsid w:val="0039391B"/>
    <w:rsid w:val="003976B5"/>
    <w:rsid w:val="003A0B1A"/>
    <w:rsid w:val="003A303F"/>
    <w:rsid w:val="003A4A2A"/>
    <w:rsid w:val="003A5735"/>
    <w:rsid w:val="003B170E"/>
    <w:rsid w:val="003B4C4B"/>
    <w:rsid w:val="003C172B"/>
    <w:rsid w:val="003C333E"/>
    <w:rsid w:val="003C6CEF"/>
    <w:rsid w:val="003D1A6D"/>
    <w:rsid w:val="003D28A0"/>
    <w:rsid w:val="003E2594"/>
    <w:rsid w:val="003E2855"/>
    <w:rsid w:val="003E7CE8"/>
    <w:rsid w:val="003F22E5"/>
    <w:rsid w:val="003F2D27"/>
    <w:rsid w:val="003F2E3B"/>
    <w:rsid w:val="003F5217"/>
    <w:rsid w:val="00400281"/>
    <w:rsid w:val="00402DFA"/>
    <w:rsid w:val="0040415F"/>
    <w:rsid w:val="0040527B"/>
    <w:rsid w:val="00405361"/>
    <w:rsid w:val="00405AB6"/>
    <w:rsid w:val="00410D54"/>
    <w:rsid w:val="004139B5"/>
    <w:rsid w:val="004139F0"/>
    <w:rsid w:val="00415D56"/>
    <w:rsid w:val="00425021"/>
    <w:rsid w:val="004312F2"/>
    <w:rsid w:val="00431BB4"/>
    <w:rsid w:val="00435674"/>
    <w:rsid w:val="00436CF5"/>
    <w:rsid w:val="0043702D"/>
    <w:rsid w:val="0043789D"/>
    <w:rsid w:val="00445267"/>
    <w:rsid w:val="00446CBF"/>
    <w:rsid w:val="004561FF"/>
    <w:rsid w:val="00460CDD"/>
    <w:rsid w:val="00461164"/>
    <w:rsid w:val="0046170B"/>
    <w:rsid w:val="0046367F"/>
    <w:rsid w:val="004646DC"/>
    <w:rsid w:val="00470777"/>
    <w:rsid w:val="004774BA"/>
    <w:rsid w:val="0047779A"/>
    <w:rsid w:val="00482C89"/>
    <w:rsid w:val="00482EDB"/>
    <w:rsid w:val="00487DC1"/>
    <w:rsid w:val="00493281"/>
    <w:rsid w:val="004958CF"/>
    <w:rsid w:val="00496C05"/>
    <w:rsid w:val="004A40B8"/>
    <w:rsid w:val="004A7B5F"/>
    <w:rsid w:val="004B04C5"/>
    <w:rsid w:val="004B4E84"/>
    <w:rsid w:val="004B5498"/>
    <w:rsid w:val="004B5B72"/>
    <w:rsid w:val="004B5BA7"/>
    <w:rsid w:val="004B5F55"/>
    <w:rsid w:val="004B74B8"/>
    <w:rsid w:val="004C0221"/>
    <w:rsid w:val="004C155B"/>
    <w:rsid w:val="004C31CB"/>
    <w:rsid w:val="004C4B68"/>
    <w:rsid w:val="004C753F"/>
    <w:rsid w:val="004D23F2"/>
    <w:rsid w:val="004D2414"/>
    <w:rsid w:val="004D54D2"/>
    <w:rsid w:val="004D5505"/>
    <w:rsid w:val="004D640E"/>
    <w:rsid w:val="004D768E"/>
    <w:rsid w:val="004E0968"/>
    <w:rsid w:val="004E1059"/>
    <w:rsid w:val="004E7396"/>
    <w:rsid w:val="004E7C63"/>
    <w:rsid w:val="004F17F8"/>
    <w:rsid w:val="004F1FBE"/>
    <w:rsid w:val="004F7753"/>
    <w:rsid w:val="004F7F21"/>
    <w:rsid w:val="00502253"/>
    <w:rsid w:val="00502924"/>
    <w:rsid w:val="00504029"/>
    <w:rsid w:val="00511BB9"/>
    <w:rsid w:val="00514D03"/>
    <w:rsid w:val="005152A6"/>
    <w:rsid w:val="0052218C"/>
    <w:rsid w:val="0052253A"/>
    <w:rsid w:val="005237AE"/>
    <w:rsid w:val="00530F9F"/>
    <w:rsid w:val="0053213E"/>
    <w:rsid w:val="005326FC"/>
    <w:rsid w:val="00532DEC"/>
    <w:rsid w:val="005347E6"/>
    <w:rsid w:val="005355E0"/>
    <w:rsid w:val="005419F1"/>
    <w:rsid w:val="00541DC6"/>
    <w:rsid w:val="00542A22"/>
    <w:rsid w:val="0054309F"/>
    <w:rsid w:val="00543280"/>
    <w:rsid w:val="005508EC"/>
    <w:rsid w:val="00550D47"/>
    <w:rsid w:val="005526BE"/>
    <w:rsid w:val="00554BA2"/>
    <w:rsid w:val="0055674D"/>
    <w:rsid w:val="00557AC7"/>
    <w:rsid w:val="00560BE1"/>
    <w:rsid w:val="00561078"/>
    <w:rsid w:val="00561F85"/>
    <w:rsid w:val="00562772"/>
    <w:rsid w:val="00564234"/>
    <w:rsid w:val="005649B3"/>
    <w:rsid w:val="0056637F"/>
    <w:rsid w:val="00570A72"/>
    <w:rsid w:val="00571E12"/>
    <w:rsid w:val="00571FC2"/>
    <w:rsid w:val="005734BC"/>
    <w:rsid w:val="00575F7F"/>
    <w:rsid w:val="00576069"/>
    <w:rsid w:val="0058072D"/>
    <w:rsid w:val="00583837"/>
    <w:rsid w:val="0058675F"/>
    <w:rsid w:val="00587CBF"/>
    <w:rsid w:val="005919B5"/>
    <w:rsid w:val="00592A54"/>
    <w:rsid w:val="005939B2"/>
    <w:rsid w:val="00593BD2"/>
    <w:rsid w:val="00597B84"/>
    <w:rsid w:val="005A0141"/>
    <w:rsid w:val="005A172D"/>
    <w:rsid w:val="005A7B59"/>
    <w:rsid w:val="005B311C"/>
    <w:rsid w:val="005B4B3A"/>
    <w:rsid w:val="005B7597"/>
    <w:rsid w:val="005C619A"/>
    <w:rsid w:val="005C686B"/>
    <w:rsid w:val="005C6EEA"/>
    <w:rsid w:val="005C7E1D"/>
    <w:rsid w:val="005D1F9E"/>
    <w:rsid w:val="005D2529"/>
    <w:rsid w:val="005D526C"/>
    <w:rsid w:val="005D656F"/>
    <w:rsid w:val="005E0ABB"/>
    <w:rsid w:val="005E1E09"/>
    <w:rsid w:val="005E6B5B"/>
    <w:rsid w:val="005E7BCB"/>
    <w:rsid w:val="00602B4F"/>
    <w:rsid w:val="006040E0"/>
    <w:rsid w:val="00604CC3"/>
    <w:rsid w:val="00605573"/>
    <w:rsid w:val="006077A3"/>
    <w:rsid w:val="00607C4A"/>
    <w:rsid w:val="00611379"/>
    <w:rsid w:val="006122D0"/>
    <w:rsid w:val="00625208"/>
    <w:rsid w:val="0062546C"/>
    <w:rsid w:val="00625E1E"/>
    <w:rsid w:val="00632A14"/>
    <w:rsid w:val="0063421A"/>
    <w:rsid w:val="00650019"/>
    <w:rsid w:val="00655FA7"/>
    <w:rsid w:val="00662469"/>
    <w:rsid w:val="00666EA1"/>
    <w:rsid w:val="006749D1"/>
    <w:rsid w:val="00680213"/>
    <w:rsid w:val="006806E9"/>
    <w:rsid w:val="00681E37"/>
    <w:rsid w:val="00682F29"/>
    <w:rsid w:val="00683F4C"/>
    <w:rsid w:val="00684A40"/>
    <w:rsid w:val="00684D54"/>
    <w:rsid w:val="006863E6"/>
    <w:rsid w:val="00687312"/>
    <w:rsid w:val="00687695"/>
    <w:rsid w:val="006917E5"/>
    <w:rsid w:val="00691EC3"/>
    <w:rsid w:val="006925A3"/>
    <w:rsid w:val="006956DC"/>
    <w:rsid w:val="00696619"/>
    <w:rsid w:val="006A1E9C"/>
    <w:rsid w:val="006A3137"/>
    <w:rsid w:val="006A3783"/>
    <w:rsid w:val="006A5274"/>
    <w:rsid w:val="006A53D6"/>
    <w:rsid w:val="006B0FE9"/>
    <w:rsid w:val="006B2FD8"/>
    <w:rsid w:val="006C1937"/>
    <w:rsid w:val="006C1E84"/>
    <w:rsid w:val="006C2AE1"/>
    <w:rsid w:val="006D0075"/>
    <w:rsid w:val="006D1A36"/>
    <w:rsid w:val="006D23C8"/>
    <w:rsid w:val="006D2AEE"/>
    <w:rsid w:val="006D5544"/>
    <w:rsid w:val="006D5CA9"/>
    <w:rsid w:val="006D6F3D"/>
    <w:rsid w:val="006E2F17"/>
    <w:rsid w:val="006E5A0A"/>
    <w:rsid w:val="006E7CED"/>
    <w:rsid w:val="006F50AC"/>
    <w:rsid w:val="006F5954"/>
    <w:rsid w:val="006F7041"/>
    <w:rsid w:val="00700A81"/>
    <w:rsid w:val="00700C0C"/>
    <w:rsid w:val="00703BAA"/>
    <w:rsid w:val="00705A56"/>
    <w:rsid w:val="0070723A"/>
    <w:rsid w:val="00707369"/>
    <w:rsid w:val="00715902"/>
    <w:rsid w:val="007209B0"/>
    <w:rsid w:val="007215DC"/>
    <w:rsid w:val="00730389"/>
    <w:rsid w:val="00730BC7"/>
    <w:rsid w:val="0073471A"/>
    <w:rsid w:val="00735F80"/>
    <w:rsid w:val="00737853"/>
    <w:rsid w:val="007424B9"/>
    <w:rsid w:val="0074461C"/>
    <w:rsid w:val="007452B6"/>
    <w:rsid w:val="0075187D"/>
    <w:rsid w:val="00755EFE"/>
    <w:rsid w:val="0076720C"/>
    <w:rsid w:val="007679B4"/>
    <w:rsid w:val="0077260E"/>
    <w:rsid w:val="00780AEB"/>
    <w:rsid w:val="0078172C"/>
    <w:rsid w:val="007846F4"/>
    <w:rsid w:val="00786FBB"/>
    <w:rsid w:val="00787F6F"/>
    <w:rsid w:val="00793AAC"/>
    <w:rsid w:val="0079514C"/>
    <w:rsid w:val="007A291D"/>
    <w:rsid w:val="007A2F3F"/>
    <w:rsid w:val="007B0A4B"/>
    <w:rsid w:val="007B3141"/>
    <w:rsid w:val="007B334A"/>
    <w:rsid w:val="007C2F33"/>
    <w:rsid w:val="007C41E1"/>
    <w:rsid w:val="007C4A72"/>
    <w:rsid w:val="007D06AC"/>
    <w:rsid w:val="007D77FC"/>
    <w:rsid w:val="007E12CD"/>
    <w:rsid w:val="007E1B20"/>
    <w:rsid w:val="007E4DDD"/>
    <w:rsid w:val="007F1BD0"/>
    <w:rsid w:val="007F2A4D"/>
    <w:rsid w:val="007F2E5B"/>
    <w:rsid w:val="007F36E9"/>
    <w:rsid w:val="00801B97"/>
    <w:rsid w:val="00807095"/>
    <w:rsid w:val="00811326"/>
    <w:rsid w:val="00811C41"/>
    <w:rsid w:val="00813C06"/>
    <w:rsid w:val="008224D6"/>
    <w:rsid w:val="00824193"/>
    <w:rsid w:val="0083183A"/>
    <w:rsid w:val="00832BE1"/>
    <w:rsid w:val="00833B07"/>
    <w:rsid w:val="00835D29"/>
    <w:rsid w:val="0084197E"/>
    <w:rsid w:val="00844F67"/>
    <w:rsid w:val="0084513C"/>
    <w:rsid w:val="008452D8"/>
    <w:rsid w:val="00847394"/>
    <w:rsid w:val="008522C2"/>
    <w:rsid w:val="00854FDF"/>
    <w:rsid w:val="00855C34"/>
    <w:rsid w:val="00863345"/>
    <w:rsid w:val="00864DEE"/>
    <w:rsid w:val="00865F65"/>
    <w:rsid w:val="00866ED3"/>
    <w:rsid w:val="008670D9"/>
    <w:rsid w:val="0086765A"/>
    <w:rsid w:val="00870252"/>
    <w:rsid w:val="008714A7"/>
    <w:rsid w:val="00877E0A"/>
    <w:rsid w:val="00881EEB"/>
    <w:rsid w:val="0088224B"/>
    <w:rsid w:val="00885223"/>
    <w:rsid w:val="0088742B"/>
    <w:rsid w:val="00887EAA"/>
    <w:rsid w:val="00896FE5"/>
    <w:rsid w:val="0089705F"/>
    <w:rsid w:val="008974CD"/>
    <w:rsid w:val="008A0379"/>
    <w:rsid w:val="008A0730"/>
    <w:rsid w:val="008B1345"/>
    <w:rsid w:val="008B1CAD"/>
    <w:rsid w:val="008B79BC"/>
    <w:rsid w:val="008B7CB6"/>
    <w:rsid w:val="008B7D21"/>
    <w:rsid w:val="008C26CC"/>
    <w:rsid w:val="008D16AC"/>
    <w:rsid w:val="008D3C50"/>
    <w:rsid w:val="008D3D70"/>
    <w:rsid w:val="008D669E"/>
    <w:rsid w:val="008D7810"/>
    <w:rsid w:val="008E0ECE"/>
    <w:rsid w:val="008E59A7"/>
    <w:rsid w:val="008F063F"/>
    <w:rsid w:val="008F35E8"/>
    <w:rsid w:val="00901EE5"/>
    <w:rsid w:val="00906767"/>
    <w:rsid w:val="00906CD5"/>
    <w:rsid w:val="009113BD"/>
    <w:rsid w:val="009174F1"/>
    <w:rsid w:val="00922240"/>
    <w:rsid w:val="009259CA"/>
    <w:rsid w:val="009269BB"/>
    <w:rsid w:val="00926DCD"/>
    <w:rsid w:val="00932D3E"/>
    <w:rsid w:val="00943A26"/>
    <w:rsid w:val="009443D2"/>
    <w:rsid w:val="00944C84"/>
    <w:rsid w:val="0094600E"/>
    <w:rsid w:val="009506D0"/>
    <w:rsid w:val="00952028"/>
    <w:rsid w:val="0095297E"/>
    <w:rsid w:val="00953570"/>
    <w:rsid w:val="009536E1"/>
    <w:rsid w:val="009551A9"/>
    <w:rsid w:val="00955912"/>
    <w:rsid w:val="00957C7B"/>
    <w:rsid w:val="00966C4C"/>
    <w:rsid w:val="00973D23"/>
    <w:rsid w:val="00976AEE"/>
    <w:rsid w:val="00977F34"/>
    <w:rsid w:val="009912C5"/>
    <w:rsid w:val="00992405"/>
    <w:rsid w:val="009926ED"/>
    <w:rsid w:val="00994662"/>
    <w:rsid w:val="00994907"/>
    <w:rsid w:val="00996CC0"/>
    <w:rsid w:val="009A7A9E"/>
    <w:rsid w:val="009B19F1"/>
    <w:rsid w:val="009B3EF1"/>
    <w:rsid w:val="009C0360"/>
    <w:rsid w:val="009C3A6E"/>
    <w:rsid w:val="009C3C24"/>
    <w:rsid w:val="009C3D6A"/>
    <w:rsid w:val="009C6DD1"/>
    <w:rsid w:val="009C7F3D"/>
    <w:rsid w:val="009D6382"/>
    <w:rsid w:val="009E4AD9"/>
    <w:rsid w:val="009E4B2C"/>
    <w:rsid w:val="009E4D5F"/>
    <w:rsid w:val="009E506A"/>
    <w:rsid w:val="009E5B91"/>
    <w:rsid w:val="009E7474"/>
    <w:rsid w:val="009F1E23"/>
    <w:rsid w:val="009F235E"/>
    <w:rsid w:val="00A017DE"/>
    <w:rsid w:val="00A01DED"/>
    <w:rsid w:val="00A03261"/>
    <w:rsid w:val="00A035AE"/>
    <w:rsid w:val="00A048A1"/>
    <w:rsid w:val="00A04D91"/>
    <w:rsid w:val="00A12C2E"/>
    <w:rsid w:val="00A16791"/>
    <w:rsid w:val="00A16F17"/>
    <w:rsid w:val="00A2110E"/>
    <w:rsid w:val="00A218C1"/>
    <w:rsid w:val="00A21C09"/>
    <w:rsid w:val="00A24E34"/>
    <w:rsid w:val="00A259FE"/>
    <w:rsid w:val="00A26D85"/>
    <w:rsid w:val="00A26E1D"/>
    <w:rsid w:val="00A27064"/>
    <w:rsid w:val="00A3044F"/>
    <w:rsid w:val="00A37406"/>
    <w:rsid w:val="00A41CAB"/>
    <w:rsid w:val="00A45B7F"/>
    <w:rsid w:val="00A46452"/>
    <w:rsid w:val="00A5147F"/>
    <w:rsid w:val="00A5175B"/>
    <w:rsid w:val="00A51D78"/>
    <w:rsid w:val="00A53E8A"/>
    <w:rsid w:val="00A54AB4"/>
    <w:rsid w:val="00A601A2"/>
    <w:rsid w:val="00A661E2"/>
    <w:rsid w:val="00A67D6C"/>
    <w:rsid w:val="00A765AC"/>
    <w:rsid w:val="00A77D6B"/>
    <w:rsid w:val="00A81646"/>
    <w:rsid w:val="00A82459"/>
    <w:rsid w:val="00A837DE"/>
    <w:rsid w:val="00A84D97"/>
    <w:rsid w:val="00A84E6F"/>
    <w:rsid w:val="00A85027"/>
    <w:rsid w:val="00A90763"/>
    <w:rsid w:val="00A93291"/>
    <w:rsid w:val="00A933F5"/>
    <w:rsid w:val="00AA0C41"/>
    <w:rsid w:val="00AA290B"/>
    <w:rsid w:val="00AA2E85"/>
    <w:rsid w:val="00AA34FB"/>
    <w:rsid w:val="00AA3FAE"/>
    <w:rsid w:val="00AA70B5"/>
    <w:rsid w:val="00AA7657"/>
    <w:rsid w:val="00AA7EAE"/>
    <w:rsid w:val="00AB0A5A"/>
    <w:rsid w:val="00AC25E2"/>
    <w:rsid w:val="00AC3051"/>
    <w:rsid w:val="00AC44C3"/>
    <w:rsid w:val="00AC553A"/>
    <w:rsid w:val="00AC737C"/>
    <w:rsid w:val="00AD28E4"/>
    <w:rsid w:val="00AD2CD0"/>
    <w:rsid w:val="00AD498C"/>
    <w:rsid w:val="00AE173D"/>
    <w:rsid w:val="00AE4ACB"/>
    <w:rsid w:val="00AF05F2"/>
    <w:rsid w:val="00AF24A3"/>
    <w:rsid w:val="00AF4491"/>
    <w:rsid w:val="00AF7716"/>
    <w:rsid w:val="00B0062A"/>
    <w:rsid w:val="00B06DA9"/>
    <w:rsid w:val="00B20D2F"/>
    <w:rsid w:val="00B2364A"/>
    <w:rsid w:val="00B25314"/>
    <w:rsid w:val="00B26539"/>
    <w:rsid w:val="00B27510"/>
    <w:rsid w:val="00B317EB"/>
    <w:rsid w:val="00B3317F"/>
    <w:rsid w:val="00B33EE7"/>
    <w:rsid w:val="00B34B5A"/>
    <w:rsid w:val="00B370F3"/>
    <w:rsid w:val="00B40018"/>
    <w:rsid w:val="00B403D4"/>
    <w:rsid w:val="00B42011"/>
    <w:rsid w:val="00B422B9"/>
    <w:rsid w:val="00B438DD"/>
    <w:rsid w:val="00B447E6"/>
    <w:rsid w:val="00B4601F"/>
    <w:rsid w:val="00B46592"/>
    <w:rsid w:val="00B46699"/>
    <w:rsid w:val="00B53A2C"/>
    <w:rsid w:val="00B54FE2"/>
    <w:rsid w:val="00B63180"/>
    <w:rsid w:val="00B635F7"/>
    <w:rsid w:val="00B67624"/>
    <w:rsid w:val="00B72A52"/>
    <w:rsid w:val="00B74D0D"/>
    <w:rsid w:val="00B75A59"/>
    <w:rsid w:val="00B83738"/>
    <w:rsid w:val="00B92B7A"/>
    <w:rsid w:val="00B93FBD"/>
    <w:rsid w:val="00B95EB6"/>
    <w:rsid w:val="00B97129"/>
    <w:rsid w:val="00BA2D04"/>
    <w:rsid w:val="00BA5E1C"/>
    <w:rsid w:val="00BA5EDA"/>
    <w:rsid w:val="00BA684C"/>
    <w:rsid w:val="00BB1FE7"/>
    <w:rsid w:val="00BB457A"/>
    <w:rsid w:val="00BB4827"/>
    <w:rsid w:val="00BB6CD5"/>
    <w:rsid w:val="00BC78CF"/>
    <w:rsid w:val="00BD17DA"/>
    <w:rsid w:val="00BD48C4"/>
    <w:rsid w:val="00BD5370"/>
    <w:rsid w:val="00BD6541"/>
    <w:rsid w:val="00BD738F"/>
    <w:rsid w:val="00BD7B7D"/>
    <w:rsid w:val="00BE0BE9"/>
    <w:rsid w:val="00BE22B6"/>
    <w:rsid w:val="00BE445A"/>
    <w:rsid w:val="00BF14A3"/>
    <w:rsid w:val="00BF29CB"/>
    <w:rsid w:val="00BF33F7"/>
    <w:rsid w:val="00BF6DFF"/>
    <w:rsid w:val="00C00903"/>
    <w:rsid w:val="00C02CEF"/>
    <w:rsid w:val="00C05BB5"/>
    <w:rsid w:val="00C11F54"/>
    <w:rsid w:val="00C11FF9"/>
    <w:rsid w:val="00C15F89"/>
    <w:rsid w:val="00C1648E"/>
    <w:rsid w:val="00C16FDB"/>
    <w:rsid w:val="00C22AF4"/>
    <w:rsid w:val="00C245B8"/>
    <w:rsid w:val="00C25734"/>
    <w:rsid w:val="00C26C5A"/>
    <w:rsid w:val="00C27EF7"/>
    <w:rsid w:val="00C31487"/>
    <w:rsid w:val="00C330D5"/>
    <w:rsid w:val="00C33EEF"/>
    <w:rsid w:val="00C34B6D"/>
    <w:rsid w:val="00C37681"/>
    <w:rsid w:val="00C447AC"/>
    <w:rsid w:val="00C45331"/>
    <w:rsid w:val="00C4646B"/>
    <w:rsid w:val="00C466B5"/>
    <w:rsid w:val="00C51F4C"/>
    <w:rsid w:val="00C52632"/>
    <w:rsid w:val="00C53D68"/>
    <w:rsid w:val="00C5442C"/>
    <w:rsid w:val="00C607C0"/>
    <w:rsid w:val="00C62F11"/>
    <w:rsid w:val="00C656FA"/>
    <w:rsid w:val="00C7223F"/>
    <w:rsid w:val="00C72915"/>
    <w:rsid w:val="00C82113"/>
    <w:rsid w:val="00C82B49"/>
    <w:rsid w:val="00C85269"/>
    <w:rsid w:val="00C858BE"/>
    <w:rsid w:val="00C87699"/>
    <w:rsid w:val="00C92F7E"/>
    <w:rsid w:val="00C95C5C"/>
    <w:rsid w:val="00C975EA"/>
    <w:rsid w:val="00CA267C"/>
    <w:rsid w:val="00CA2C1E"/>
    <w:rsid w:val="00CA2F8B"/>
    <w:rsid w:val="00CA505E"/>
    <w:rsid w:val="00CA5F63"/>
    <w:rsid w:val="00CB162A"/>
    <w:rsid w:val="00CB3C92"/>
    <w:rsid w:val="00CB6889"/>
    <w:rsid w:val="00CC2DC0"/>
    <w:rsid w:val="00CC31C4"/>
    <w:rsid w:val="00CC5D40"/>
    <w:rsid w:val="00CC614A"/>
    <w:rsid w:val="00CD2D10"/>
    <w:rsid w:val="00CD3CA4"/>
    <w:rsid w:val="00CD79A8"/>
    <w:rsid w:val="00CE123B"/>
    <w:rsid w:val="00CE2D1E"/>
    <w:rsid w:val="00CE707E"/>
    <w:rsid w:val="00CE77A0"/>
    <w:rsid w:val="00CF1634"/>
    <w:rsid w:val="00CF481F"/>
    <w:rsid w:val="00CF4D2F"/>
    <w:rsid w:val="00CF620B"/>
    <w:rsid w:val="00D02A08"/>
    <w:rsid w:val="00D04CF3"/>
    <w:rsid w:val="00D104F6"/>
    <w:rsid w:val="00D10A73"/>
    <w:rsid w:val="00D10BE9"/>
    <w:rsid w:val="00D16A9A"/>
    <w:rsid w:val="00D17D74"/>
    <w:rsid w:val="00D224C9"/>
    <w:rsid w:val="00D24B8A"/>
    <w:rsid w:val="00D30F6F"/>
    <w:rsid w:val="00D34C65"/>
    <w:rsid w:val="00D355CC"/>
    <w:rsid w:val="00D37382"/>
    <w:rsid w:val="00D4129C"/>
    <w:rsid w:val="00D418AD"/>
    <w:rsid w:val="00D51E3A"/>
    <w:rsid w:val="00D523ED"/>
    <w:rsid w:val="00D535EE"/>
    <w:rsid w:val="00D54D42"/>
    <w:rsid w:val="00D5662B"/>
    <w:rsid w:val="00D61093"/>
    <w:rsid w:val="00D65253"/>
    <w:rsid w:val="00D67F2F"/>
    <w:rsid w:val="00D74CDA"/>
    <w:rsid w:val="00D7562B"/>
    <w:rsid w:val="00D76F6E"/>
    <w:rsid w:val="00D80228"/>
    <w:rsid w:val="00D8082F"/>
    <w:rsid w:val="00D83A9F"/>
    <w:rsid w:val="00D84224"/>
    <w:rsid w:val="00D84FC1"/>
    <w:rsid w:val="00D90310"/>
    <w:rsid w:val="00D90CB3"/>
    <w:rsid w:val="00D918B8"/>
    <w:rsid w:val="00D956D6"/>
    <w:rsid w:val="00DA1F42"/>
    <w:rsid w:val="00DA3F49"/>
    <w:rsid w:val="00DA5214"/>
    <w:rsid w:val="00DA6A8E"/>
    <w:rsid w:val="00DB3341"/>
    <w:rsid w:val="00DB349E"/>
    <w:rsid w:val="00DC21C1"/>
    <w:rsid w:val="00DC331A"/>
    <w:rsid w:val="00DC7720"/>
    <w:rsid w:val="00DD042C"/>
    <w:rsid w:val="00DD07BD"/>
    <w:rsid w:val="00DD08FB"/>
    <w:rsid w:val="00DD2E24"/>
    <w:rsid w:val="00DD60E2"/>
    <w:rsid w:val="00DD63EA"/>
    <w:rsid w:val="00DE36BD"/>
    <w:rsid w:val="00DE67F4"/>
    <w:rsid w:val="00DF01D0"/>
    <w:rsid w:val="00DF2344"/>
    <w:rsid w:val="00DF28E0"/>
    <w:rsid w:val="00DF5B75"/>
    <w:rsid w:val="00DF66F0"/>
    <w:rsid w:val="00E023CB"/>
    <w:rsid w:val="00E04A87"/>
    <w:rsid w:val="00E0635A"/>
    <w:rsid w:val="00E06F23"/>
    <w:rsid w:val="00E07600"/>
    <w:rsid w:val="00E10D9A"/>
    <w:rsid w:val="00E15A94"/>
    <w:rsid w:val="00E2048E"/>
    <w:rsid w:val="00E27BBF"/>
    <w:rsid w:val="00E33AB2"/>
    <w:rsid w:val="00E42658"/>
    <w:rsid w:val="00E478C8"/>
    <w:rsid w:val="00E500C5"/>
    <w:rsid w:val="00E504F5"/>
    <w:rsid w:val="00E51E85"/>
    <w:rsid w:val="00E52A20"/>
    <w:rsid w:val="00E55D1E"/>
    <w:rsid w:val="00E561D4"/>
    <w:rsid w:val="00E5668E"/>
    <w:rsid w:val="00E57029"/>
    <w:rsid w:val="00E609B5"/>
    <w:rsid w:val="00E61DE0"/>
    <w:rsid w:val="00E63122"/>
    <w:rsid w:val="00E63F06"/>
    <w:rsid w:val="00E64886"/>
    <w:rsid w:val="00E65438"/>
    <w:rsid w:val="00E6798F"/>
    <w:rsid w:val="00E67E0B"/>
    <w:rsid w:val="00E75DD6"/>
    <w:rsid w:val="00E75F1A"/>
    <w:rsid w:val="00E808A2"/>
    <w:rsid w:val="00E809E7"/>
    <w:rsid w:val="00E83D8C"/>
    <w:rsid w:val="00E8630C"/>
    <w:rsid w:val="00E96102"/>
    <w:rsid w:val="00EA0923"/>
    <w:rsid w:val="00EA3469"/>
    <w:rsid w:val="00EA6227"/>
    <w:rsid w:val="00EA723D"/>
    <w:rsid w:val="00EA73E5"/>
    <w:rsid w:val="00EB3664"/>
    <w:rsid w:val="00EB3AF7"/>
    <w:rsid w:val="00ED2240"/>
    <w:rsid w:val="00EE2B0A"/>
    <w:rsid w:val="00EE2C91"/>
    <w:rsid w:val="00EE3198"/>
    <w:rsid w:val="00EE31DA"/>
    <w:rsid w:val="00EE3B28"/>
    <w:rsid w:val="00EE486A"/>
    <w:rsid w:val="00EE7BF7"/>
    <w:rsid w:val="00EF2CFE"/>
    <w:rsid w:val="00EF52FE"/>
    <w:rsid w:val="00EF5733"/>
    <w:rsid w:val="00EF57C9"/>
    <w:rsid w:val="00F0297E"/>
    <w:rsid w:val="00F04884"/>
    <w:rsid w:val="00F077A3"/>
    <w:rsid w:val="00F10471"/>
    <w:rsid w:val="00F112F6"/>
    <w:rsid w:val="00F122BB"/>
    <w:rsid w:val="00F150FE"/>
    <w:rsid w:val="00F158EE"/>
    <w:rsid w:val="00F32774"/>
    <w:rsid w:val="00F408A1"/>
    <w:rsid w:val="00F42045"/>
    <w:rsid w:val="00F42247"/>
    <w:rsid w:val="00F448E2"/>
    <w:rsid w:val="00F4507C"/>
    <w:rsid w:val="00F52357"/>
    <w:rsid w:val="00F5322B"/>
    <w:rsid w:val="00F536B8"/>
    <w:rsid w:val="00F56AEB"/>
    <w:rsid w:val="00F610C2"/>
    <w:rsid w:val="00F6131B"/>
    <w:rsid w:val="00F61D17"/>
    <w:rsid w:val="00F67B2B"/>
    <w:rsid w:val="00F70323"/>
    <w:rsid w:val="00F734B8"/>
    <w:rsid w:val="00F73A1B"/>
    <w:rsid w:val="00F7451E"/>
    <w:rsid w:val="00F7729A"/>
    <w:rsid w:val="00F77D76"/>
    <w:rsid w:val="00F80B45"/>
    <w:rsid w:val="00F81DB9"/>
    <w:rsid w:val="00F862F2"/>
    <w:rsid w:val="00F86D94"/>
    <w:rsid w:val="00F9005F"/>
    <w:rsid w:val="00F910F0"/>
    <w:rsid w:val="00F94BD2"/>
    <w:rsid w:val="00F954B8"/>
    <w:rsid w:val="00FA0F29"/>
    <w:rsid w:val="00FA241B"/>
    <w:rsid w:val="00FA440F"/>
    <w:rsid w:val="00FB04E0"/>
    <w:rsid w:val="00FB0D47"/>
    <w:rsid w:val="00FB1CA8"/>
    <w:rsid w:val="00FB2007"/>
    <w:rsid w:val="00FB6148"/>
    <w:rsid w:val="00FB6A14"/>
    <w:rsid w:val="00FB795E"/>
    <w:rsid w:val="00FC144A"/>
    <w:rsid w:val="00FC36AD"/>
    <w:rsid w:val="00FC5406"/>
    <w:rsid w:val="00FD075D"/>
    <w:rsid w:val="00FD491E"/>
    <w:rsid w:val="00FE5F1D"/>
    <w:rsid w:val="00FE6719"/>
    <w:rsid w:val="00FF2385"/>
    <w:rsid w:val="00FF69EA"/>
    <w:rsid w:val="00FF6D0C"/>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paragraph" w:styleId="af2">
    <w:name w:val="Normal (Web)"/>
    <w:basedOn w:val="a"/>
    <w:uiPriority w:val="99"/>
    <w:semiHidden/>
    <w:unhideWhenUsed/>
    <w:rsid w:val="003E2855"/>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F36E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F36E9"/>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6324153">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734087159">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4010</TotalTime>
  <Pages>4</Pages>
  <Words>1830</Words>
  <Characters>10432</Characters>
  <Application>Microsoft Office Word</Application>
  <DocSecurity>0</DocSecurity>
  <Lines>86</Lines>
  <Paragraphs>24</Paragraphs>
  <ScaleCrop>false</ScaleCrop>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756</cp:revision>
  <dcterms:created xsi:type="dcterms:W3CDTF">2021-01-15T00:45:00Z</dcterms:created>
  <dcterms:modified xsi:type="dcterms:W3CDTF">2022-11-04T01:34:00Z</dcterms:modified>
</cp:coreProperties>
</file>